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361" w:rsidRDefault="000E1361" w:rsidP="000E1361">
      <w:pPr>
        <w:ind w:right="5791"/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8pt" o:ole="">
            <v:imagedata r:id="rId9" o:title=""/>
          </v:shape>
          <o:OLEObject Type="Embed" ProgID="Word.Picture.8" ShapeID="_x0000_i1025" DrawAspect="Content" ObjectID="_1576072932" r:id="rId10"/>
        </w:object>
      </w:r>
    </w:p>
    <w:p w:rsidR="000E1361" w:rsidRPr="00CB6179" w:rsidRDefault="000E1361" w:rsidP="000E1361">
      <w:pPr>
        <w:ind w:right="5791"/>
        <w:jc w:val="center"/>
        <w:rPr>
          <w:sz w:val="16"/>
        </w:rPr>
      </w:pPr>
    </w:p>
    <w:p w:rsidR="000E1361" w:rsidRDefault="002D4192" w:rsidP="000E1361">
      <w:pPr>
        <w:pStyle w:val="1"/>
        <w:ind w:right="5791"/>
        <w:rPr>
          <w:sz w:val="18"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E26DE" wp14:editId="64960FA0">
                <wp:simplePos x="0" y="0"/>
                <wp:positionH relativeFrom="column">
                  <wp:posOffset>3549015</wp:posOffset>
                </wp:positionH>
                <wp:positionV relativeFrom="paragraph">
                  <wp:posOffset>124460</wp:posOffset>
                </wp:positionV>
                <wp:extent cx="2600325" cy="2200275"/>
                <wp:effectExtent l="0" t="0" r="9525" b="9525"/>
                <wp:wrapNone/>
                <wp:docPr id="15" name="Rectangle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3E11" w:rsidRDefault="00E93E11" w:rsidP="00290351"/>
                          <w:p w:rsidR="00E93E11" w:rsidRDefault="00E93E11" w:rsidP="00DE42EC"/>
                          <w:p w:rsidR="00E93E11" w:rsidRDefault="00E93E11" w:rsidP="00DE42EC">
                            <w:r>
                              <w:t xml:space="preserve">Главе муниципального образования «Город Архангельск» </w:t>
                            </w:r>
                          </w:p>
                          <w:p w:rsidR="00E93E11" w:rsidRDefault="00E93E11" w:rsidP="00DE42EC"/>
                          <w:p w:rsidR="00E93E11" w:rsidRPr="00817655" w:rsidRDefault="00E93E11" w:rsidP="00DE42EC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И. В. Годзишу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6" o:spid="_x0000_s1026" style="position:absolute;left:0;text-align:left;margin-left:279.45pt;margin-top:9.8pt;width:204.75pt;height:1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jChAIAAAsFAAAOAAAAZHJzL2Uyb0RvYy54bWysVNuO0zAQfUfiHyy/d3MhvSRqutptKUJa&#10;YMXCB7i201g4trHdpgvi3xk7bbc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" stroked="f">
                <v:textbox>
                  <w:txbxContent>
                    <w:p w:rsidR="00E93E11" w:rsidRDefault="00E93E11" w:rsidP="00290351"/>
                    <w:p w:rsidR="00E93E11" w:rsidRDefault="00E93E11" w:rsidP="00DE42EC"/>
                    <w:p w:rsidR="00E93E11" w:rsidRDefault="00E93E11" w:rsidP="00DE42EC">
                      <w:r>
                        <w:t xml:space="preserve">Главе муниципального образования «Город Архангельск» </w:t>
                      </w:r>
                    </w:p>
                    <w:p w:rsidR="00E93E11" w:rsidRDefault="00E93E11" w:rsidP="00DE42EC"/>
                    <w:p w:rsidR="00E93E11" w:rsidRPr="00817655" w:rsidRDefault="00E93E11" w:rsidP="00DE42EC">
                      <w:pPr>
                        <w:rPr>
                          <w:color w:val="FF0000"/>
                        </w:rPr>
                      </w:pPr>
                      <w:r>
                        <w:t xml:space="preserve">И. В. </w:t>
                      </w:r>
                      <w:proofErr w:type="spellStart"/>
                      <w:r>
                        <w:t>Годзишу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E1361">
        <w:rPr>
          <w:sz w:val="18"/>
        </w:rPr>
        <w:t xml:space="preserve">АДМИНИСТРАЦИЯ </w:t>
      </w:r>
    </w:p>
    <w:p w:rsidR="000E1361" w:rsidRDefault="000E1361" w:rsidP="000E1361">
      <w:pPr>
        <w:pStyle w:val="1"/>
        <w:ind w:right="5791"/>
        <w:rPr>
          <w:sz w:val="18"/>
        </w:rPr>
      </w:pPr>
      <w:r>
        <w:rPr>
          <w:sz w:val="18"/>
        </w:rPr>
        <w:t>МУНИЦИПАЛЬНОГО ОБРАЗОВАНИЯ "ГОРОД  АРХАНГЕЛЬСК"</w:t>
      </w:r>
    </w:p>
    <w:p w:rsidR="000E1361" w:rsidRPr="00465F40" w:rsidRDefault="000E1361" w:rsidP="000E1361">
      <w:pPr>
        <w:pStyle w:val="a6"/>
        <w:ind w:right="5789"/>
        <w:rPr>
          <w:sz w:val="20"/>
        </w:rPr>
      </w:pPr>
    </w:p>
    <w:p w:rsidR="000E1361" w:rsidRPr="002F43EA" w:rsidRDefault="000E1361" w:rsidP="002F43EA">
      <w:pPr>
        <w:pStyle w:val="8"/>
        <w:spacing w:before="0"/>
        <w:ind w:right="578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3EA">
        <w:rPr>
          <w:rFonts w:ascii="Times New Roman" w:hAnsi="Times New Roman" w:cs="Times New Roman"/>
          <w:b/>
          <w:sz w:val="24"/>
          <w:szCs w:val="24"/>
        </w:rPr>
        <w:t>ДЕПАРТАМЕНТ</w:t>
      </w:r>
    </w:p>
    <w:p w:rsidR="000E1361" w:rsidRPr="002F43EA" w:rsidRDefault="000E1361" w:rsidP="002F43EA">
      <w:pPr>
        <w:pStyle w:val="8"/>
        <w:spacing w:before="0" w:line="360" w:lineRule="exact"/>
        <w:ind w:right="578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3EA">
        <w:rPr>
          <w:rFonts w:ascii="Times New Roman" w:hAnsi="Times New Roman" w:cs="Times New Roman"/>
          <w:b/>
          <w:sz w:val="24"/>
          <w:szCs w:val="24"/>
        </w:rPr>
        <w:t>ГОРОДСКОГО ХОЗЯЙСТВА</w:t>
      </w:r>
    </w:p>
    <w:p w:rsidR="000E1361" w:rsidRDefault="000E1361" w:rsidP="000E1361">
      <w:pPr>
        <w:ind w:right="5791"/>
        <w:jc w:val="center"/>
        <w:rPr>
          <w:b/>
          <w:bCs/>
          <w:sz w:val="20"/>
        </w:rPr>
      </w:pPr>
    </w:p>
    <w:p w:rsidR="000E1361" w:rsidRPr="00644862" w:rsidRDefault="000E1361" w:rsidP="000E1361">
      <w:pPr>
        <w:ind w:right="5500"/>
        <w:jc w:val="center"/>
        <w:rPr>
          <w:sz w:val="16"/>
          <w:szCs w:val="16"/>
        </w:rPr>
      </w:pPr>
      <w:proofErr w:type="spellStart"/>
      <w:r w:rsidRPr="00644862">
        <w:rPr>
          <w:sz w:val="16"/>
          <w:szCs w:val="16"/>
        </w:rPr>
        <w:t>пр</w:t>
      </w:r>
      <w:proofErr w:type="gramStart"/>
      <w:r w:rsidRPr="00644862">
        <w:rPr>
          <w:sz w:val="16"/>
          <w:szCs w:val="16"/>
        </w:rPr>
        <w:t>.Т</w:t>
      </w:r>
      <w:proofErr w:type="gramEnd"/>
      <w:r w:rsidRPr="00644862">
        <w:rPr>
          <w:sz w:val="16"/>
          <w:szCs w:val="16"/>
        </w:rPr>
        <w:t>роицкий</w:t>
      </w:r>
      <w:proofErr w:type="spellEnd"/>
      <w:r w:rsidRPr="00644862">
        <w:rPr>
          <w:sz w:val="16"/>
          <w:szCs w:val="16"/>
        </w:rPr>
        <w:t>, д.60, г.Архангельск, 163000</w:t>
      </w:r>
    </w:p>
    <w:p w:rsidR="000E1361" w:rsidRPr="00644862" w:rsidRDefault="000E1361" w:rsidP="000E1361">
      <w:pPr>
        <w:ind w:right="5500"/>
        <w:jc w:val="center"/>
        <w:rPr>
          <w:sz w:val="16"/>
          <w:szCs w:val="16"/>
        </w:rPr>
      </w:pPr>
      <w:r w:rsidRPr="00644862">
        <w:rPr>
          <w:sz w:val="16"/>
          <w:szCs w:val="16"/>
        </w:rPr>
        <w:t>тел. 606-701, факс 606-705</w:t>
      </w:r>
    </w:p>
    <w:p w:rsidR="000E1361" w:rsidRPr="008F25CD" w:rsidRDefault="000E1361" w:rsidP="000E1361">
      <w:pPr>
        <w:ind w:right="5500"/>
        <w:jc w:val="center"/>
        <w:rPr>
          <w:sz w:val="16"/>
          <w:szCs w:val="16"/>
        </w:rPr>
      </w:pPr>
      <w:r w:rsidRPr="00644862">
        <w:rPr>
          <w:sz w:val="16"/>
          <w:szCs w:val="16"/>
          <w:lang w:val="en-US"/>
        </w:rPr>
        <w:t>E</w:t>
      </w:r>
      <w:r w:rsidRPr="008F25CD">
        <w:rPr>
          <w:sz w:val="16"/>
          <w:szCs w:val="16"/>
        </w:rPr>
        <w:t>-</w:t>
      </w:r>
      <w:r w:rsidRPr="00644862">
        <w:rPr>
          <w:sz w:val="16"/>
          <w:szCs w:val="16"/>
          <w:lang w:val="en-US"/>
        </w:rPr>
        <w:t>mail</w:t>
      </w:r>
      <w:r w:rsidRPr="008F25CD">
        <w:rPr>
          <w:sz w:val="16"/>
          <w:szCs w:val="16"/>
        </w:rPr>
        <w:t xml:space="preserve">: </w:t>
      </w:r>
      <w:proofErr w:type="spellStart"/>
      <w:r w:rsidRPr="00644862">
        <w:rPr>
          <w:sz w:val="16"/>
          <w:szCs w:val="16"/>
          <w:lang w:val="en-US"/>
        </w:rPr>
        <w:t>dgh</w:t>
      </w:r>
      <w:proofErr w:type="spellEnd"/>
      <w:r w:rsidRPr="008F25CD">
        <w:rPr>
          <w:sz w:val="16"/>
          <w:szCs w:val="16"/>
        </w:rPr>
        <w:t>@</w:t>
      </w:r>
      <w:proofErr w:type="spellStart"/>
      <w:r w:rsidRPr="00644862">
        <w:rPr>
          <w:sz w:val="16"/>
          <w:szCs w:val="16"/>
          <w:lang w:val="en-US"/>
        </w:rPr>
        <w:t>arhcity</w:t>
      </w:r>
      <w:proofErr w:type="spellEnd"/>
      <w:r w:rsidRPr="008F25CD">
        <w:rPr>
          <w:sz w:val="16"/>
          <w:szCs w:val="16"/>
        </w:rPr>
        <w:t>.</w:t>
      </w:r>
      <w:proofErr w:type="spellStart"/>
      <w:r w:rsidRPr="00644862">
        <w:rPr>
          <w:sz w:val="16"/>
          <w:szCs w:val="16"/>
          <w:lang w:val="en-US"/>
        </w:rPr>
        <w:t>ru</w:t>
      </w:r>
      <w:proofErr w:type="spellEnd"/>
      <w:r w:rsidRPr="008F25CD">
        <w:rPr>
          <w:sz w:val="16"/>
          <w:szCs w:val="16"/>
        </w:rPr>
        <w:t xml:space="preserve"> </w:t>
      </w:r>
    </w:p>
    <w:p w:rsidR="000E1361" w:rsidRPr="008F25CD" w:rsidRDefault="000E1361" w:rsidP="000E1361">
      <w:pPr>
        <w:spacing w:line="240" w:lineRule="exact"/>
        <w:ind w:right="5500"/>
      </w:pPr>
    </w:p>
    <w:p w:rsidR="000E1361" w:rsidRPr="008F25CD" w:rsidRDefault="000E1361" w:rsidP="000E1361">
      <w:pPr>
        <w:ind w:right="5500"/>
        <w:rPr>
          <w:sz w:val="18"/>
        </w:rPr>
      </w:pPr>
      <w:r w:rsidRPr="008F25CD">
        <w:rPr>
          <w:sz w:val="18"/>
        </w:rPr>
        <w:t>________________________№__</w:t>
      </w:r>
      <w:r w:rsidR="006732B5" w:rsidRPr="008F25CD">
        <w:rPr>
          <w:sz w:val="18"/>
        </w:rPr>
        <w:t>__________</w:t>
      </w:r>
      <w:r w:rsidRPr="008F25CD">
        <w:rPr>
          <w:sz w:val="18"/>
        </w:rPr>
        <w:t>_____</w:t>
      </w:r>
    </w:p>
    <w:p w:rsidR="000E1361" w:rsidRPr="008F25CD" w:rsidRDefault="000E1361" w:rsidP="000E1361">
      <w:pPr>
        <w:spacing w:line="200" w:lineRule="exact"/>
        <w:ind w:right="5500"/>
        <w:rPr>
          <w:sz w:val="18"/>
        </w:rPr>
      </w:pPr>
    </w:p>
    <w:p w:rsidR="000E1361" w:rsidRDefault="000E1361" w:rsidP="000E1361">
      <w:pPr>
        <w:ind w:right="5555"/>
        <w:rPr>
          <w:sz w:val="18"/>
        </w:rPr>
      </w:pPr>
      <w:r>
        <w:rPr>
          <w:sz w:val="18"/>
        </w:rPr>
        <w:t>На № __________________ от _________________</w:t>
      </w:r>
    </w:p>
    <w:p w:rsidR="00640D8B" w:rsidRDefault="00640D8B" w:rsidP="000E1361">
      <w:pPr>
        <w:jc w:val="both"/>
        <w:rPr>
          <w:sz w:val="22"/>
        </w:rPr>
      </w:pPr>
      <w:r>
        <w:rPr>
          <w:sz w:val="22"/>
        </w:rPr>
        <w:t>ОСОБОЕ МНЕНИЕ</w:t>
      </w:r>
      <w:r w:rsidR="0072384B" w:rsidRPr="0072384B">
        <w:rPr>
          <w:sz w:val="22"/>
        </w:rPr>
        <w:t xml:space="preserve"> </w:t>
      </w:r>
    </w:p>
    <w:p w:rsidR="000E1361" w:rsidRPr="0072384B" w:rsidRDefault="0072384B" w:rsidP="000E1361">
      <w:pPr>
        <w:jc w:val="both"/>
        <w:rPr>
          <w:sz w:val="22"/>
        </w:rPr>
      </w:pPr>
      <w:r w:rsidRPr="0072384B">
        <w:rPr>
          <w:sz w:val="22"/>
        </w:rPr>
        <w:t xml:space="preserve">по </w:t>
      </w:r>
      <w:r w:rsidR="007354BE">
        <w:rPr>
          <w:sz w:val="22"/>
        </w:rPr>
        <w:t>инициативе заключения</w:t>
      </w:r>
      <w:r w:rsidR="00640D8B">
        <w:rPr>
          <w:sz w:val="22"/>
        </w:rPr>
        <w:t xml:space="preserve"> </w:t>
      </w:r>
      <w:r w:rsidR="007354BE">
        <w:rPr>
          <w:sz w:val="22"/>
        </w:rPr>
        <w:t xml:space="preserve">концессионного </w:t>
      </w:r>
      <w:r w:rsidRPr="0072384B">
        <w:rPr>
          <w:sz w:val="22"/>
        </w:rPr>
        <w:t>согла</w:t>
      </w:r>
      <w:r w:rsidR="007354BE">
        <w:rPr>
          <w:sz w:val="22"/>
        </w:rPr>
        <w:t>шения</w:t>
      </w:r>
    </w:p>
    <w:p w:rsidR="00B65DAB" w:rsidRDefault="006B09DD" w:rsidP="00732462">
      <w:pPr>
        <w:spacing w:line="276" w:lineRule="auto"/>
        <w:jc w:val="center"/>
        <w:rPr>
          <w:sz w:val="16"/>
        </w:rPr>
      </w:pPr>
      <w:r w:rsidRPr="006C6ED1">
        <w:rPr>
          <w:sz w:val="16"/>
        </w:rPr>
        <w:tab/>
      </w:r>
    </w:p>
    <w:p w:rsidR="00C7008D" w:rsidRDefault="00C7008D" w:rsidP="00805213">
      <w:pPr>
        <w:spacing w:line="264" w:lineRule="auto"/>
        <w:jc w:val="center"/>
      </w:pPr>
    </w:p>
    <w:p w:rsidR="006B09DD" w:rsidRPr="00395D11" w:rsidRDefault="00D151A6" w:rsidP="00805213">
      <w:pPr>
        <w:spacing w:line="264" w:lineRule="auto"/>
        <w:jc w:val="center"/>
      </w:pPr>
      <w:r>
        <w:t xml:space="preserve">Уважаемый </w:t>
      </w:r>
      <w:r w:rsidR="0072384B">
        <w:t>Игорь Викторович</w:t>
      </w:r>
      <w:r w:rsidR="006B09DD" w:rsidRPr="00395D11">
        <w:t>!</w:t>
      </w:r>
    </w:p>
    <w:p w:rsidR="006B09DD" w:rsidRDefault="006B09DD" w:rsidP="00B635EF"/>
    <w:p w:rsidR="004F35A7" w:rsidRDefault="00C8724B" w:rsidP="004F35A7">
      <w:pPr>
        <w:ind w:firstLine="709"/>
        <w:jc w:val="both"/>
      </w:pPr>
      <w:r>
        <w:t>В Администрацию муниципального образования «Город Архангельск» в письме от 05.10.2017 № И.С2.РВКЦ</w:t>
      </w:r>
      <w:proofErr w:type="gramStart"/>
      <w:r>
        <w:t>.Д</w:t>
      </w:r>
      <w:proofErr w:type="gramEnd"/>
      <w:r>
        <w:t>Р-05102017-0001 (</w:t>
      </w:r>
      <w:proofErr w:type="spellStart"/>
      <w:r>
        <w:t>вх</w:t>
      </w:r>
      <w:proofErr w:type="spellEnd"/>
      <w:r>
        <w:t>. № 19-27/2849 от 06.10.2017 Администрации МО «Город Архангельск») поступило предложение от ООО «РВК-Центр» с инициативой о заключении концессионного соглашения по объектам водоснабжения и водоотведения города Архангельска.</w:t>
      </w:r>
    </w:p>
    <w:p w:rsidR="00640D8B" w:rsidRDefault="00640D8B" w:rsidP="004F35A7">
      <w:pPr>
        <w:ind w:firstLine="709"/>
        <w:jc w:val="both"/>
      </w:pPr>
      <w:r>
        <w:t xml:space="preserve">В настоящем особом мнении департамент городского хозяйства Администрации МО «Город Архангельск» (далее – департамент) сообщает о невозможности согласования проекта концессионного соглашения </w:t>
      </w:r>
      <w:r w:rsidR="0004637C">
        <w:t xml:space="preserve">(протокола результатов переговоров с ООО «РВК-Центр», распоряжений, связанных с размещением (утверждением, согласованием) документов по концессионному соглашению) </w:t>
      </w:r>
      <w:r>
        <w:t>департаментом</w:t>
      </w:r>
      <w:r w:rsidR="00D92B19">
        <w:t xml:space="preserve"> без учета замечаний, приведенных далее (включая приложение)</w:t>
      </w:r>
      <w:r>
        <w:t>. Также далее приведены причины отсутствия такой возможности.</w:t>
      </w:r>
    </w:p>
    <w:p w:rsidR="004F35A7" w:rsidRDefault="00C8724B" w:rsidP="004F35A7">
      <w:pPr>
        <w:ind w:firstLine="709"/>
        <w:jc w:val="both"/>
      </w:pPr>
      <w:proofErr w:type="gramStart"/>
      <w:r>
        <w:t xml:space="preserve">В рамках </w:t>
      </w:r>
      <w:r w:rsidR="007354BE">
        <w:t>рассмотрения предложения Администрацией МО «Город Архангельск» в соответствии с п. 2 ч. 4.4 ст. 37 Федерального закона «О концессионных соглашениях» от 21.07.2005 № 115-ФЗ (далее – Федеральный закон № 115-ФЗ) было принято «Решение о возможности заключения концессионного соглашения на иных условиях и о проведении переговоров с инициатором заключения соглашения», утвержденное распоряжением Администрации МО «Город Архангельск» от 16 октября 2017 г. № 3156р</w:t>
      </w:r>
      <w:proofErr w:type="gramEnd"/>
      <w:r w:rsidR="00E54342">
        <w:t>, регламентирующее порядок таких переговоров</w:t>
      </w:r>
      <w:r w:rsidR="00B635EF">
        <w:t xml:space="preserve"> (далее </w:t>
      </w:r>
      <w:r w:rsidR="00E54342">
        <w:t xml:space="preserve">– </w:t>
      </w:r>
      <w:r w:rsidR="00D7675D">
        <w:t xml:space="preserve">переговоры, </w:t>
      </w:r>
      <w:r w:rsidR="00E54342">
        <w:t>порядок)</w:t>
      </w:r>
      <w:r w:rsidR="007354BE">
        <w:t xml:space="preserve">, на основании п. 6 </w:t>
      </w:r>
      <w:r w:rsidR="00E54342">
        <w:t>ч</w:t>
      </w:r>
      <w:r w:rsidR="007354BE">
        <w:t xml:space="preserve">. 4.6 </w:t>
      </w:r>
      <w:r w:rsidR="00E54342">
        <w:t xml:space="preserve">ст. 37 </w:t>
      </w:r>
      <w:r w:rsidR="00B635EF">
        <w:t xml:space="preserve">Федерального закона № 115-ФЗ </w:t>
      </w:r>
      <w:r w:rsidR="007354BE">
        <w:t xml:space="preserve">в связи с отсутствием </w:t>
      </w:r>
      <w:r w:rsidR="007354BE">
        <w:rPr>
          <w:rFonts w:eastAsiaTheme="minorHAnsi"/>
          <w:szCs w:val="28"/>
          <w:lang w:eastAsia="en-US"/>
        </w:rPr>
        <w:t xml:space="preserve">у публично-правового образования </w:t>
      </w:r>
      <w:r w:rsidR="00B635EF">
        <w:rPr>
          <w:rFonts w:eastAsiaTheme="minorHAnsi"/>
          <w:szCs w:val="28"/>
          <w:lang w:eastAsia="en-US"/>
        </w:rPr>
        <w:t xml:space="preserve">(МО «Город Архангельск» и Архангельской области) </w:t>
      </w:r>
      <w:r w:rsidR="007354BE">
        <w:rPr>
          <w:rFonts w:eastAsiaTheme="minorHAnsi"/>
          <w:szCs w:val="28"/>
          <w:lang w:eastAsia="en-US"/>
        </w:rPr>
        <w:t xml:space="preserve">ресурсного обеспечения для заключения и исполнения концессионного соглашения на предложенных </w:t>
      </w:r>
      <w:r w:rsidR="00B635EF">
        <w:rPr>
          <w:rFonts w:eastAsiaTheme="minorHAnsi"/>
          <w:szCs w:val="28"/>
          <w:lang w:eastAsia="en-US"/>
        </w:rPr>
        <w:t>инициатором</w:t>
      </w:r>
      <w:r w:rsidR="007354BE">
        <w:rPr>
          <w:rFonts w:eastAsiaTheme="minorHAnsi"/>
          <w:szCs w:val="28"/>
          <w:lang w:eastAsia="en-US"/>
        </w:rPr>
        <w:t xml:space="preserve"> условия</w:t>
      </w:r>
      <w:r w:rsidR="00B635EF">
        <w:rPr>
          <w:rFonts w:eastAsiaTheme="minorHAnsi"/>
          <w:szCs w:val="28"/>
          <w:lang w:eastAsia="en-US"/>
        </w:rPr>
        <w:t xml:space="preserve">х. Однако рассматривалась возможность изменения условий, предложенных инициатором, для устранения невозможности заключения концессионного </w:t>
      </w:r>
      <w:r w:rsidR="00B635EF">
        <w:rPr>
          <w:rFonts w:eastAsiaTheme="minorHAnsi"/>
          <w:szCs w:val="28"/>
          <w:lang w:eastAsia="en-US"/>
        </w:rPr>
        <w:lastRenderedPageBreak/>
        <w:t xml:space="preserve">соглашения в соответствии с п. 6 ч. 4.6 </w:t>
      </w:r>
      <w:r w:rsidR="00E54342">
        <w:rPr>
          <w:rFonts w:eastAsiaTheme="minorHAnsi"/>
          <w:szCs w:val="28"/>
          <w:lang w:eastAsia="en-US"/>
        </w:rPr>
        <w:t xml:space="preserve">ст. 37 </w:t>
      </w:r>
      <w:r w:rsidR="00B635EF">
        <w:rPr>
          <w:rFonts w:eastAsiaTheme="minorHAnsi"/>
          <w:szCs w:val="28"/>
          <w:lang w:eastAsia="en-US"/>
        </w:rPr>
        <w:t>Федерального закона № 115-ФЗ в рамках проведения переговоров.</w:t>
      </w:r>
    </w:p>
    <w:p w:rsidR="004F35A7" w:rsidRDefault="00B635EF" w:rsidP="004F35A7">
      <w:pPr>
        <w:ind w:firstLine="709"/>
        <w:jc w:val="both"/>
        <w:rPr>
          <w:rFonts w:eastAsiaTheme="minorHAnsi"/>
          <w:szCs w:val="28"/>
          <w:lang w:eastAsia="en-US"/>
        </w:rPr>
      </w:pPr>
      <w:r>
        <w:t>По итогу пров</w:t>
      </w:r>
      <w:r w:rsidR="00E93E11">
        <w:t>едения переговоров имеется перечень замечаний</w:t>
      </w:r>
      <w:r>
        <w:t xml:space="preserve">, </w:t>
      </w:r>
      <w:r w:rsidR="00793E0A">
        <w:t xml:space="preserve">который </w:t>
      </w:r>
      <w:r w:rsidR="00E93E11">
        <w:t xml:space="preserve">подготовлен </w:t>
      </w:r>
      <w:r w:rsidR="00793E0A">
        <w:t>департаментом</w:t>
      </w:r>
      <w:r w:rsidR="00E93E11">
        <w:t xml:space="preserve">, а </w:t>
      </w:r>
      <w:proofErr w:type="gramStart"/>
      <w:r w:rsidR="00E93E11">
        <w:t>также</w:t>
      </w:r>
      <w:proofErr w:type="gramEnd"/>
      <w:r w:rsidR="00E93E11">
        <w:t xml:space="preserve"> </w:t>
      </w:r>
      <w:r w:rsidR="00640D8B">
        <w:t xml:space="preserve">в том числе </w:t>
      </w:r>
      <w:r w:rsidR="00E93E11">
        <w:t>другими подразделениями Администрации МО «Город Архангельск»</w:t>
      </w:r>
      <w:r w:rsidR="00793E0A">
        <w:t xml:space="preserve"> и который </w:t>
      </w:r>
      <w:r>
        <w:t xml:space="preserve">инициатор (ООО «РВК-Центр») </w:t>
      </w:r>
      <w:r w:rsidR="00793E0A">
        <w:t>обязан учитывать при представ</w:t>
      </w:r>
      <w:r>
        <w:t>л</w:t>
      </w:r>
      <w:r w:rsidR="00793E0A">
        <w:t>ении</w:t>
      </w:r>
      <w:r>
        <w:t xml:space="preserve"> на рассмотрение Администрации МО</w:t>
      </w:r>
      <w:r w:rsidR="00E54342">
        <w:t> </w:t>
      </w:r>
      <w:r>
        <w:t>«Город Архангельск» и Правительства Архангельской области (далее – Архангельская область) проект</w:t>
      </w:r>
      <w:r w:rsidR="00793E0A">
        <w:t>а</w:t>
      </w:r>
      <w:r>
        <w:t xml:space="preserve"> </w:t>
      </w:r>
      <w:r w:rsidR="00E54342">
        <w:t>концессионного соглашения</w:t>
      </w:r>
      <w:r w:rsidR="00793E0A">
        <w:t xml:space="preserve"> в соответствии с требованиями</w:t>
      </w:r>
      <w:r w:rsidR="003E2DBE">
        <w:t xml:space="preserve"> </w:t>
      </w:r>
      <w:r w:rsidR="00E54342">
        <w:t>ч.</w:t>
      </w:r>
      <w:r w:rsidR="00793E0A">
        <w:t> </w:t>
      </w:r>
      <w:r w:rsidR="00E54342">
        <w:t>4.8 ст. 37 Федерального закона № 115-ФЗ</w:t>
      </w:r>
      <w:r w:rsidR="003E2DBE">
        <w:t>, а именно</w:t>
      </w:r>
      <w:r w:rsidR="00E54342">
        <w:t xml:space="preserve"> </w:t>
      </w:r>
      <w:r w:rsidR="00793E0A">
        <w:t>для</w:t>
      </w:r>
      <w:r w:rsidR="00E54342">
        <w:t xml:space="preserve"> </w:t>
      </w:r>
      <w:r w:rsidR="00793E0A">
        <w:t>достижения</w:t>
      </w:r>
      <w:r w:rsidR="00E54342">
        <w:t xml:space="preserve"> сторонами переговоров согласования по проекту концессионного соглашения</w:t>
      </w:r>
      <w:r w:rsidR="003E2DBE">
        <w:t>, который</w:t>
      </w:r>
      <w:r w:rsidR="00E54342">
        <w:t xml:space="preserve"> </w:t>
      </w:r>
      <w:r w:rsidR="003E2DBE">
        <w:t>должен</w:t>
      </w:r>
      <w:r w:rsidR="00E54342">
        <w:t xml:space="preserve"> б</w:t>
      </w:r>
      <w:r w:rsidR="003E2DBE">
        <w:t>ыть размещен</w:t>
      </w:r>
      <w:r w:rsidR="00E54342">
        <w:t xml:space="preserve"> на официальном сайте </w:t>
      </w:r>
      <w:r w:rsidR="00E54342">
        <w:rPr>
          <w:rFonts w:eastAsiaTheme="minorHAnsi"/>
          <w:szCs w:val="28"/>
          <w:lang w:eastAsia="en-US"/>
        </w:rPr>
        <w:t>в информационно-телекоммуникационной сети "Интернет" для размещения информации о проведении торгов</w:t>
      </w:r>
      <w:r w:rsidR="00A26C77">
        <w:rPr>
          <w:rFonts w:eastAsiaTheme="minorHAnsi"/>
          <w:szCs w:val="28"/>
          <w:lang w:eastAsia="en-US"/>
        </w:rPr>
        <w:t>, определенном Правительством Российской Федерации (далее – сайт), только на основании согласования размещаемой документации всеми сторонами переговоров.</w:t>
      </w:r>
      <w:r w:rsidR="00793E0A">
        <w:rPr>
          <w:rFonts w:eastAsiaTheme="minorHAnsi"/>
          <w:szCs w:val="28"/>
          <w:lang w:eastAsia="en-US"/>
        </w:rPr>
        <w:t xml:space="preserve"> Считаем </w:t>
      </w:r>
      <w:r w:rsidR="00E93E11">
        <w:rPr>
          <w:rFonts w:eastAsiaTheme="minorHAnsi"/>
          <w:szCs w:val="28"/>
          <w:lang w:eastAsia="en-US"/>
        </w:rPr>
        <w:t xml:space="preserve">учет перечня замечаний и </w:t>
      </w:r>
      <w:r w:rsidR="00793E0A">
        <w:rPr>
          <w:rFonts w:eastAsiaTheme="minorHAnsi"/>
          <w:szCs w:val="28"/>
          <w:lang w:eastAsia="en-US"/>
        </w:rPr>
        <w:t xml:space="preserve">направление </w:t>
      </w:r>
      <w:r w:rsidR="00E93E11">
        <w:rPr>
          <w:rFonts w:eastAsiaTheme="minorHAnsi"/>
          <w:szCs w:val="28"/>
          <w:lang w:eastAsia="en-US"/>
        </w:rPr>
        <w:t xml:space="preserve">его </w:t>
      </w:r>
      <w:r w:rsidR="00793E0A">
        <w:rPr>
          <w:rFonts w:eastAsiaTheme="minorHAnsi"/>
          <w:szCs w:val="28"/>
          <w:lang w:eastAsia="en-US"/>
        </w:rPr>
        <w:t>в официальном порядке инициатору (ООО «РВК-Центр») необходимым обстоятельством.</w:t>
      </w:r>
    </w:p>
    <w:p w:rsidR="00E54342" w:rsidRDefault="00E93E11" w:rsidP="00D7675D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Данный</w:t>
      </w:r>
      <w:r w:rsidR="00072BE8">
        <w:rPr>
          <w:rFonts w:eastAsiaTheme="minorHAnsi"/>
          <w:szCs w:val="28"/>
          <w:lang w:eastAsia="en-US"/>
        </w:rPr>
        <w:t xml:space="preserve"> перечень замечаний, не </w:t>
      </w:r>
      <w:r w:rsidR="00793E0A">
        <w:rPr>
          <w:rFonts w:eastAsiaTheme="minorHAnsi"/>
          <w:szCs w:val="28"/>
          <w:lang w:eastAsia="en-US"/>
        </w:rPr>
        <w:t xml:space="preserve">согласованных и не учтенных </w:t>
      </w:r>
      <w:r w:rsidR="00072BE8">
        <w:rPr>
          <w:rFonts w:eastAsiaTheme="minorHAnsi"/>
          <w:szCs w:val="28"/>
          <w:lang w:eastAsia="en-US"/>
        </w:rPr>
        <w:t>ООО «РВК-Центр»</w:t>
      </w:r>
      <w:r w:rsidR="00D7675D">
        <w:rPr>
          <w:rFonts w:eastAsiaTheme="minorHAnsi"/>
          <w:szCs w:val="28"/>
          <w:lang w:eastAsia="en-US"/>
        </w:rPr>
        <w:t xml:space="preserve">, </w:t>
      </w:r>
      <w:r w:rsidR="00072BE8">
        <w:rPr>
          <w:rFonts w:eastAsiaTheme="minorHAnsi"/>
          <w:szCs w:val="28"/>
          <w:lang w:eastAsia="en-US"/>
        </w:rPr>
        <w:t>по мнению департамента</w:t>
      </w:r>
      <w:r w:rsidR="00D7675D">
        <w:rPr>
          <w:rFonts w:eastAsiaTheme="minorHAnsi"/>
          <w:szCs w:val="28"/>
          <w:lang w:eastAsia="en-US"/>
        </w:rPr>
        <w:t xml:space="preserve"> существенно влияют на взаимодействие между МО «Город Архангельск»</w:t>
      </w:r>
      <w:r w:rsidR="003E2DBE">
        <w:rPr>
          <w:rFonts w:eastAsiaTheme="minorHAnsi"/>
          <w:szCs w:val="28"/>
          <w:lang w:eastAsia="en-US"/>
        </w:rPr>
        <w:t>, Архангельской областью</w:t>
      </w:r>
      <w:r w:rsidR="00D7675D">
        <w:rPr>
          <w:rFonts w:eastAsiaTheme="minorHAnsi"/>
          <w:szCs w:val="28"/>
          <w:lang w:eastAsia="en-US"/>
        </w:rPr>
        <w:t xml:space="preserve"> </w:t>
      </w:r>
      <w:proofErr w:type="gramStart"/>
      <w:r w:rsidR="00D7675D">
        <w:rPr>
          <w:rFonts w:eastAsiaTheme="minorHAnsi"/>
          <w:szCs w:val="28"/>
          <w:lang w:eastAsia="en-US"/>
        </w:rPr>
        <w:t>и ООО</w:t>
      </w:r>
      <w:proofErr w:type="gramEnd"/>
      <w:r w:rsidR="00D7675D">
        <w:rPr>
          <w:rFonts w:eastAsiaTheme="minorHAnsi"/>
          <w:szCs w:val="28"/>
          <w:lang w:eastAsia="en-US"/>
        </w:rPr>
        <w:t xml:space="preserve"> «РВК-Центр», ухудшая положение МО «Город Архангельск» и Архангельской области</w:t>
      </w:r>
      <w:r w:rsidR="003E2DBE">
        <w:rPr>
          <w:rFonts w:eastAsiaTheme="minorHAnsi"/>
          <w:szCs w:val="28"/>
          <w:lang w:eastAsia="en-US"/>
        </w:rPr>
        <w:t xml:space="preserve">, </w:t>
      </w:r>
      <w:r w:rsidR="00793E0A">
        <w:rPr>
          <w:rFonts w:eastAsiaTheme="minorHAnsi"/>
          <w:szCs w:val="28"/>
          <w:lang w:eastAsia="en-US"/>
        </w:rPr>
        <w:t>заключающийся</w:t>
      </w:r>
      <w:r w:rsidR="003E2DBE">
        <w:rPr>
          <w:rFonts w:eastAsiaTheme="minorHAnsi"/>
          <w:szCs w:val="28"/>
          <w:lang w:eastAsia="en-US"/>
        </w:rPr>
        <w:t xml:space="preserve"> </w:t>
      </w:r>
      <w:r w:rsidR="00793E0A">
        <w:rPr>
          <w:rFonts w:eastAsiaTheme="minorHAnsi"/>
          <w:szCs w:val="28"/>
          <w:lang w:eastAsia="en-US"/>
        </w:rPr>
        <w:t xml:space="preserve">в </w:t>
      </w:r>
      <w:r w:rsidR="003E2DBE">
        <w:rPr>
          <w:rFonts w:eastAsiaTheme="minorHAnsi"/>
          <w:szCs w:val="28"/>
          <w:lang w:eastAsia="en-US"/>
        </w:rPr>
        <w:t>дисбаланс</w:t>
      </w:r>
      <w:r w:rsidR="00793E0A">
        <w:rPr>
          <w:rFonts w:eastAsiaTheme="minorHAnsi"/>
          <w:szCs w:val="28"/>
          <w:lang w:eastAsia="en-US"/>
        </w:rPr>
        <w:t>е в</w:t>
      </w:r>
      <w:r w:rsidR="003E2DBE">
        <w:rPr>
          <w:rFonts w:eastAsiaTheme="minorHAnsi"/>
          <w:szCs w:val="28"/>
          <w:lang w:eastAsia="en-US"/>
        </w:rPr>
        <w:t xml:space="preserve"> интересах и рисках сторон</w:t>
      </w:r>
      <w:r w:rsidR="00D7675D">
        <w:rPr>
          <w:rFonts w:eastAsiaTheme="minorHAnsi"/>
          <w:szCs w:val="28"/>
          <w:lang w:eastAsia="en-US"/>
        </w:rPr>
        <w:t>.</w:t>
      </w:r>
    </w:p>
    <w:p w:rsidR="00D7675D" w:rsidRDefault="00D7675D" w:rsidP="00883F0F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Считаем необходимым сообщить об особенностях, учтенных в проекте концессионного соглашения</w:t>
      </w:r>
      <w:r w:rsidR="00AF001B">
        <w:rPr>
          <w:rFonts w:eastAsiaTheme="minorHAnsi"/>
          <w:szCs w:val="28"/>
          <w:lang w:eastAsia="en-US"/>
        </w:rPr>
        <w:t xml:space="preserve"> (далее – КС)</w:t>
      </w:r>
      <w:r>
        <w:rPr>
          <w:rFonts w:eastAsiaTheme="minorHAnsi"/>
          <w:szCs w:val="28"/>
          <w:lang w:eastAsia="en-US"/>
        </w:rPr>
        <w:t>,</w:t>
      </w:r>
      <w:r w:rsidR="00692426">
        <w:rPr>
          <w:rFonts w:eastAsiaTheme="minorHAnsi"/>
          <w:szCs w:val="28"/>
          <w:lang w:eastAsia="en-US"/>
        </w:rPr>
        <w:t xml:space="preserve"> не получивших</w:t>
      </w:r>
      <w:r>
        <w:rPr>
          <w:rFonts w:eastAsiaTheme="minorHAnsi"/>
          <w:szCs w:val="28"/>
          <w:lang w:eastAsia="en-US"/>
        </w:rPr>
        <w:t xml:space="preserve"> в рамках переговоров согласо</w:t>
      </w:r>
      <w:r w:rsidR="00692426">
        <w:rPr>
          <w:rFonts w:eastAsiaTheme="minorHAnsi"/>
          <w:szCs w:val="28"/>
          <w:lang w:eastAsia="en-US"/>
        </w:rPr>
        <w:t>вания</w:t>
      </w:r>
      <w:r>
        <w:rPr>
          <w:rFonts w:eastAsiaTheme="minorHAnsi"/>
          <w:szCs w:val="28"/>
          <w:lang w:eastAsia="en-US"/>
        </w:rPr>
        <w:t xml:space="preserve"> муниципального образования «Город Архангельск» и Архангельской области</w:t>
      </w:r>
      <w:r w:rsidR="00883F0F">
        <w:rPr>
          <w:rFonts w:eastAsiaTheme="minorHAnsi"/>
          <w:szCs w:val="28"/>
          <w:lang w:eastAsia="en-US"/>
        </w:rPr>
        <w:t>.</w:t>
      </w:r>
    </w:p>
    <w:p w:rsidR="00BE2371" w:rsidRDefault="00E93E11" w:rsidP="00BE2371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177FE8">
        <w:rPr>
          <w:bCs/>
          <w:szCs w:val="28"/>
        </w:rPr>
        <w:t xml:space="preserve">В проекте </w:t>
      </w:r>
      <w:r>
        <w:rPr>
          <w:bCs/>
          <w:szCs w:val="28"/>
        </w:rPr>
        <w:t xml:space="preserve">КС </w:t>
      </w:r>
      <w:r w:rsidRPr="00177FE8">
        <w:rPr>
          <w:bCs/>
          <w:szCs w:val="28"/>
        </w:rPr>
        <w:t>не установлен поряд</w:t>
      </w:r>
      <w:r>
        <w:rPr>
          <w:bCs/>
          <w:szCs w:val="28"/>
        </w:rPr>
        <w:t>ок</w:t>
      </w:r>
      <w:r w:rsidRPr="00177FE8">
        <w:rPr>
          <w:bCs/>
          <w:szCs w:val="28"/>
        </w:rPr>
        <w:t xml:space="preserve"> передачи </w:t>
      </w:r>
      <w:r>
        <w:rPr>
          <w:bCs/>
          <w:szCs w:val="28"/>
        </w:rPr>
        <w:t>К</w:t>
      </w:r>
      <w:r w:rsidRPr="00177FE8">
        <w:rPr>
          <w:bCs/>
          <w:szCs w:val="28"/>
        </w:rPr>
        <w:t xml:space="preserve">онцессионеру имущества, закрепленного за </w:t>
      </w:r>
      <w:r>
        <w:rPr>
          <w:bCs/>
          <w:szCs w:val="28"/>
        </w:rPr>
        <w:t xml:space="preserve">муниципальным </w:t>
      </w:r>
      <w:r w:rsidRPr="00177FE8">
        <w:rPr>
          <w:bCs/>
          <w:szCs w:val="28"/>
        </w:rPr>
        <w:t>унитарным предприятием</w:t>
      </w:r>
      <w:r>
        <w:rPr>
          <w:bCs/>
          <w:szCs w:val="28"/>
        </w:rPr>
        <w:t xml:space="preserve">  «Водоканал» (далее – </w:t>
      </w:r>
      <w:r w:rsidRPr="00640D8B">
        <w:rPr>
          <w:bCs/>
          <w:szCs w:val="28"/>
        </w:rPr>
        <w:t xml:space="preserve">МУП) на праве хозяйственного ведения, </w:t>
      </w:r>
      <w:r w:rsidR="00883F0F" w:rsidRPr="00640D8B">
        <w:rPr>
          <w:rFonts w:eastAsiaTheme="minorHAnsi"/>
          <w:szCs w:val="28"/>
          <w:lang w:eastAsia="en-US"/>
        </w:rPr>
        <w:t xml:space="preserve">не учтено условие передачи объектов МУП «Водоканал» (далее – МУП) в аренду концессионеру в течение 1 года, поскольку МУП на сегодняшний день обладает вещным правом (правом хозяйственного ведения) на объекты </w:t>
      </w:r>
      <w:r w:rsidR="00AF001B" w:rsidRPr="00640D8B">
        <w:rPr>
          <w:rFonts w:eastAsiaTheme="minorHAnsi"/>
          <w:szCs w:val="28"/>
          <w:lang w:eastAsia="en-US"/>
        </w:rPr>
        <w:t>КС</w:t>
      </w:r>
      <w:r w:rsidR="00883F0F" w:rsidRPr="00640D8B">
        <w:rPr>
          <w:rFonts w:eastAsiaTheme="minorHAnsi"/>
          <w:szCs w:val="28"/>
          <w:lang w:eastAsia="en-US"/>
        </w:rPr>
        <w:t xml:space="preserve"> и иное имущество, которое в соответствии с действующим законодательством</w:t>
      </w:r>
      <w:proofErr w:type="gramEnd"/>
      <w:r w:rsidR="00883F0F" w:rsidRPr="00640D8B">
        <w:rPr>
          <w:rFonts w:eastAsiaTheme="minorHAnsi"/>
          <w:szCs w:val="28"/>
          <w:lang w:eastAsia="en-US"/>
        </w:rPr>
        <w:t xml:space="preserve"> может быть передано только в течение 1 года с момента заключения концессионного соглашения.</w:t>
      </w:r>
      <w:r w:rsidR="00AF001B">
        <w:rPr>
          <w:rFonts w:eastAsiaTheme="minorHAnsi"/>
          <w:szCs w:val="28"/>
          <w:lang w:eastAsia="en-US"/>
        </w:rPr>
        <w:t xml:space="preserve"> Данное обстоятельство может стать причиной расторжения </w:t>
      </w:r>
      <w:r w:rsidR="006421F1">
        <w:rPr>
          <w:rFonts w:eastAsiaTheme="minorHAnsi"/>
          <w:szCs w:val="28"/>
          <w:lang w:eastAsia="en-US"/>
        </w:rPr>
        <w:t>КС</w:t>
      </w:r>
      <w:r w:rsidR="00AF001B">
        <w:rPr>
          <w:rFonts w:eastAsiaTheme="minorHAnsi"/>
          <w:szCs w:val="28"/>
          <w:lang w:eastAsia="en-US"/>
        </w:rPr>
        <w:t xml:space="preserve"> и выплаты компенсации при прекращении </w:t>
      </w:r>
      <w:r w:rsidR="006421F1">
        <w:rPr>
          <w:rFonts w:eastAsiaTheme="minorHAnsi"/>
          <w:szCs w:val="28"/>
          <w:lang w:eastAsia="en-US"/>
        </w:rPr>
        <w:t>КС</w:t>
      </w:r>
      <w:r w:rsidR="00AF001B">
        <w:rPr>
          <w:rFonts w:eastAsiaTheme="minorHAnsi"/>
          <w:szCs w:val="28"/>
          <w:lang w:eastAsia="en-US"/>
        </w:rPr>
        <w:t xml:space="preserve"> со стороны МО «Город Архангельск». Инициатору было указано на данное обстоятельство, однако оно не учтено в тексте </w:t>
      </w:r>
      <w:r w:rsidR="006421F1">
        <w:rPr>
          <w:rFonts w:eastAsiaTheme="minorHAnsi"/>
          <w:szCs w:val="28"/>
          <w:lang w:eastAsia="en-US"/>
        </w:rPr>
        <w:t>КС</w:t>
      </w:r>
      <w:r w:rsidR="00AF001B">
        <w:rPr>
          <w:rFonts w:eastAsiaTheme="minorHAnsi"/>
          <w:szCs w:val="28"/>
          <w:lang w:eastAsia="en-US"/>
        </w:rPr>
        <w:t>.</w:t>
      </w:r>
    </w:p>
    <w:p w:rsidR="00BE2371" w:rsidRDefault="00883F0F" w:rsidP="00BE2371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В проекте </w:t>
      </w:r>
      <w:r w:rsidR="006421F1">
        <w:rPr>
          <w:rFonts w:eastAsiaTheme="minorHAnsi"/>
          <w:szCs w:val="28"/>
          <w:lang w:eastAsia="en-US"/>
        </w:rPr>
        <w:t>КС</w:t>
      </w:r>
      <w:r>
        <w:rPr>
          <w:rFonts w:eastAsiaTheme="minorHAnsi"/>
          <w:szCs w:val="28"/>
          <w:lang w:eastAsia="en-US"/>
        </w:rPr>
        <w:t xml:space="preserve"> отсутствует ответственность концессионера по исполнению своих обязательств, к примеру, в тексте </w:t>
      </w:r>
      <w:r w:rsidR="00AF001B">
        <w:rPr>
          <w:rFonts w:eastAsiaTheme="minorHAnsi"/>
          <w:szCs w:val="28"/>
          <w:lang w:eastAsia="en-US"/>
        </w:rPr>
        <w:t>Р</w:t>
      </w:r>
      <w:r w:rsidR="00AF001B">
        <w:t>екомендуемой формы концессионного соглашения для Стандартного отраслевого решения в теплоснабжении, размещенной на сайте Министерства строительства и жилищно-комму</w:t>
      </w:r>
      <w:r w:rsidR="006421F1">
        <w:t>нального хозяйства РФ, принятой</w:t>
      </w:r>
      <w:r w:rsidR="00AF001B">
        <w:t xml:space="preserve"> инициатором за основу при формировании предложения об инициативе заключения </w:t>
      </w:r>
      <w:r w:rsidR="006421F1">
        <w:t>КС</w:t>
      </w:r>
      <w:r w:rsidR="00AF001B">
        <w:t xml:space="preserve">, имеется ответственность концессионера в размере 2/365 ключевой ставки Банка России от суммы </w:t>
      </w:r>
      <w:r w:rsidR="00AF001B">
        <w:lastRenderedPageBreak/>
        <w:t>неисполненного денежного обязательства</w:t>
      </w:r>
      <w:proofErr w:type="gramEnd"/>
      <w:r w:rsidR="00AF001B">
        <w:t xml:space="preserve"> за каждый день просрочки, что возможно было бы применить в качестве стимулирующей меры для концессионера по исполнению обязательств по созданию и реконструкции объектов </w:t>
      </w:r>
      <w:r w:rsidR="006421F1">
        <w:t>КС</w:t>
      </w:r>
      <w:r w:rsidR="00AF001B">
        <w:t xml:space="preserve"> (в размере 2/365 ключевой ставки Банка России от суммы неисполненных инвестиционных обязательств по плановым срокам, установленным </w:t>
      </w:r>
      <w:r w:rsidR="006421F1">
        <w:t>КС</w:t>
      </w:r>
      <w:r w:rsidR="00AF001B">
        <w:t xml:space="preserve">). </w:t>
      </w:r>
      <w:r w:rsidR="00134443">
        <w:t xml:space="preserve">Либо </w:t>
      </w:r>
      <w:r w:rsidR="008C2C51">
        <w:t xml:space="preserve">для восстановления баланса интересов </w:t>
      </w:r>
      <w:r w:rsidR="00134443">
        <w:t xml:space="preserve">при выплате компенсации при прекращении КС </w:t>
      </w:r>
      <w:r w:rsidR="008C2C51">
        <w:t>исключить</w:t>
      </w:r>
      <w:r w:rsidR="00134443">
        <w:t xml:space="preserve"> ответственность МО «Город Архангельск» выплачивать проценты по кредитам, взятым для осуществления концессионером концессионной деятельности. </w:t>
      </w:r>
      <w:r w:rsidR="00AF001B">
        <w:t xml:space="preserve">Инициатор не учел данное предложение в тексте </w:t>
      </w:r>
      <w:r w:rsidR="006421F1">
        <w:t>КС.</w:t>
      </w:r>
    </w:p>
    <w:p w:rsidR="00AF001B" w:rsidRDefault="006421F1" w:rsidP="00BE2371">
      <w:pPr>
        <w:ind w:firstLine="709"/>
        <w:jc w:val="both"/>
      </w:pPr>
      <w:proofErr w:type="gramStart"/>
      <w:r>
        <w:t xml:space="preserve">Ссылаясь на то обстоятельство, что концессионер переводит на себя долг </w:t>
      </w:r>
      <w:proofErr w:type="spellStart"/>
      <w:r>
        <w:t>МУПа</w:t>
      </w:r>
      <w:proofErr w:type="spellEnd"/>
      <w:r>
        <w:t xml:space="preserve"> в размере 900 млн. рублей</w:t>
      </w:r>
      <w:r w:rsidR="008F2A02">
        <w:t xml:space="preserve"> и тем самым несет достаточно обременительную ответственность</w:t>
      </w:r>
      <w:r>
        <w:t xml:space="preserve">, инициатор </w:t>
      </w:r>
      <w:r w:rsidR="00BE2371">
        <w:t xml:space="preserve">предлагает не вводить дополнительную ответственность концессионера, однако, департамент считает, что, поскольку данная задолженность не закрепляется тарифным решением, и возмещается из предпринимательской прибыли концессионера, то </w:t>
      </w:r>
      <w:r w:rsidR="008F2A02">
        <w:t>муниципальному образованию</w:t>
      </w:r>
      <w:r w:rsidR="00BE2371">
        <w:t xml:space="preserve"> «Город Архангельск» и Архангельской области доподлинно неизвестны </w:t>
      </w:r>
      <w:r w:rsidR="008F2A02">
        <w:t>объективные сроки погашения</w:t>
      </w:r>
      <w:proofErr w:type="gramEnd"/>
      <w:r w:rsidR="008F2A02">
        <w:t xml:space="preserve"> как самой задолженности перед кредиторами </w:t>
      </w:r>
      <w:proofErr w:type="spellStart"/>
      <w:r w:rsidR="008F2A02">
        <w:t>МУПа</w:t>
      </w:r>
      <w:proofErr w:type="spellEnd"/>
      <w:r w:rsidR="008F2A02">
        <w:t xml:space="preserve">, так и срока возврата банковского кредита, взятого концессионером для погашения данной задолженности. Таким </w:t>
      </w:r>
      <w:proofErr w:type="gramStart"/>
      <w:r w:rsidR="008F2A02">
        <w:t>образом</w:t>
      </w:r>
      <w:proofErr w:type="gramEnd"/>
      <w:r w:rsidR="008F2A02">
        <w:t xml:space="preserve"> к определенному (предполагаемому только инициатором) сроку задолженность в размере 900 млн. рублей</w:t>
      </w:r>
      <w:r w:rsidR="00810460">
        <w:t>, включая проценты по кредиту, взятому на покрытие данной задолженно</w:t>
      </w:r>
      <w:r w:rsidR="00AA7A5A">
        <w:t>сти, будет погашена, в то время</w:t>
      </w:r>
      <w:r w:rsidR="00810460">
        <w:t xml:space="preserve"> как действие КС будет продолжено и сохранение </w:t>
      </w:r>
      <w:r w:rsidR="00AA7A5A">
        <w:t xml:space="preserve">уровня </w:t>
      </w:r>
      <w:r w:rsidR="00810460">
        <w:t>ответственности концессионера необходимо.</w:t>
      </w:r>
    </w:p>
    <w:p w:rsidR="00810460" w:rsidRDefault="00810460" w:rsidP="00BE2371">
      <w:pPr>
        <w:ind w:firstLine="709"/>
        <w:jc w:val="both"/>
      </w:pPr>
      <w:r>
        <w:t xml:space="preserve">Дополнительно департамент считает, что </w:t>
      </w:r>
      <w:r w:rsidR="0062164F">
        <w:t xml:space="preserve">ввиду вышеуказанного отсутствия информации об условиях погашения переведенного долга необходимо закрепить в КС сроки </w:t>
      </w:r>
      <w:proofErr w:type="gramStart"/>
      <w:r w:rsidR="0062164F">
        <w:t>погашения</w:t>
      </w:r>
      <w:proofErr w:type="gramEnd"/>
      <w:r w:rsidR="0062164F">
        <w:t xml:space="preserve"> концессионером такого переведенного долга, включая расчетное погашение процентов по кредиту по</w:t>
      </w:r>
      <w:r w:rsidR="00AE52E9">
        <w:t>, равных</w:t>
      </w:r>
      <w:r w:rsidR="0062164F">
        <w:t xml:space="preserve"> ключевой ставке Банка России плюс 4 процентных пункта (</w:t>
      </w:r>
      <w:r w:rsidR="00AE52E9">
        <w:t>соответствующих решению</w:t>
      </w:r>
      <w:r w:rsidR="0062164F">
        <w:t xml:space="preserve"> Агентства по тарифам и ценам</w:t>
      </w:r>
      <w:r w:rsidR="00AE52E9">
        <w:t>)</w:t>
      </w:r>
      <w:r w:rsidR="0062164F">
        <w:t xml:space="preserve">, взятому на покрытие данной задолженности, применяя последовательное снижение оставшейся перед кредиторами </w:t>
      </w:r>
      <w:proofErr w:type="spellStart"/>
      <w:r w:rsidR="0062164F">
        <w:t>МУПа</w:t>
      </w:r>
      <w:proofErr w:type="spellEnd"/>
      <w:r w:rsidR="0062164F">
        <w:t xml:space="preserve"> задолженности не менее</w:t>
      </w:r>
      <w:proofErr w:type="gramStart"/>
      <w:r w:rsidR="005C4310">
        <w:t>,</w:t>
      </w:r>
      <w:proofErr w:type="gramEnd"/>
      <w:r w:rsidR="0062164F">
        <w:t xml:space="preserve"> </w:t>
      </w:r>
      <w:r w:rsidR="005C4310">
        <w:t xml:space="preserve">чем </w:t>
      </w:r>
      <w:r w:rsidR="0062164F">
        <w:t>на 90 млн. рублей в год, и тем самым исключить выплату долга в размере 900 млн. рублей в течение всего срока действия КС при расторжении по инициативе МО «Город Архангельск».</w:t>
      </w:r>
      <w:r w:rsidR="00AE52E9">
        <w:t xml:space="preserve"> Предположительно данная задолженность </w:t>
      </w:r>
      <w:r w:rsidR="0015005F">
        <w:t xml:space="preserve">может быть погашена через 17 лет после перевода долга и не учитываться </w:t>
      </w:r>
      <w:r w:rsidR="00AE52E9">
        <w:t>при выплате компенсации при прекращении КС</w:t>
      </w:r>
      <w:r w:rsidR="0015005F">
        <w:t>, что отвечает интересам МО «Город Архангельск» и Архангельской области.</w:t>
      </w:r>
    </w:p>
    <w:p w:rsidR="00353774" w:rsidRDefault="00353774" w:rsidP="00BE2371">
      <w:pPr>
        <w:ind w:firstLine="709"/>
        <w:jc w:val="both"/>
      </w:pPr>
      <w:r>
        <w:t>Считаем необходимым отметить, что в КС необходимо закрепить условие, что концессионер получает у финансирующей организации заемные средства или привлекает акционерные займы в каждый год не более осуществляемых им в соответствии с условиями концессионного соглашения в этот год капитальными вложениями</w:t>
      </w:r>
      <w:r w:rsidR="00AA7A5A">
        <w:t>, выплатой концессионной платы и потребностями в оборотном капитале</w:t>
      </w:r>
      <w:r>
        <w:t>.</w:t>
      </w:r>
    </w:p>
    <w:p w:rsidR="001316A4" w:rsidRDefault="001316A4" w:rsidP="00BE2371">
      <w:pPr>
        <w:ind w:firstLine="709"/>
        <w:jc w:val="both"/>
      </w:pPr>
      <w:proofErr w:type="gramStart"/>
      <w:r>
        <w:lastRenderedPageBreak/>
        <w:t>Кроме того, департаментом финансов Администрации МО «Город Архангельск»</w:t>
      </w:r>
      <w:r w:rsidR="00EA274F">
        <w:t xml:space="preserve"> высказана позиция, поддержанная и департаментом городского хозяйства о том, что задолженность концессионера перед финансирующей организацией и по акционерным займа по правилам бухгалтерского учета (ПБУ 15/2008) не являются расходами организации и отражаются в бухгалтерском учете организацией-заемщиком как уменьшение (погашение) кредиторской задолженности.</w:t>
      </w:r>
      <w:proofErr w:type="gramEnd"/>
      <w:r w:rsidR="00EA274F">
        <w:t xml:space="preserve"> </w:t>
      </w:r>
      <w:proofErr w:type="gramStart"/>
      <w:r w:rsidR="00EA274F">
        <w:t>При</w:t>
      </w:r>
      <w:proofErr w:type="gramEnd"/>
      <w:r w:rsidR="00EA274F">
        <w:t xml:space="preserve"> </w:t>
      </w:r>
      <w:proofErr w:type="gramStart"/>
      <w:r w:rsidR="00EA274F">
        <w:t>это</w:t>
      </w:r>
      <w:proofErr w:type="gramEnd"/>
      <w:r w:rsidR="00EA274F">
        <w:t xml:space="preserve"> компенсации концессионеру расходов на создание и реконструкцию объекта соглашения, расходов, связанных с выплатой концессионной платы и суммы долговых обязательств </w:t>
      </w:r>
      <w:proofErr w:type="spellStart"/>
      <w:r w:rsidR="00EA274F">
        <w:t>МУПа</w:t>
      </w:r>
      <w:proofErr w:type="spellEnd"/>
      <w:r w:rsidR="006D6EB7">
        <w:t xml:space="preserve"> в случае заключения соглашения о переводе долга предприятия, у концессионера будут иметься источники для погашения задолженности перед финансирующей организацией и по акционерным займам. Таким </w:t>
      </w:r>
      <w:proofErr w:type="gramStart"/>
      <w:r w:rsidR="006D6EB7">
        <w:t>образом</w:t>
      </w:r>
      <w:proofErr w:type="gramEnd"/>
      <w:r w:rsidR="006D6EB7">
        <w:t xml:space="preserve"> приложение 14 «Компенсация при прекращении» к проекту КС по мнению департаментов подлежит доработке, в том числе в связи с неоднозначностью изложения отдельных норм, неопределенностью, возможностью различного толкования. Задолженность перед финансирующей организацией и задолженность по акционерным займам необходимо исключить, а ограничиться компенсацией расходов концессионера на создание и реконструкцию объектов КС, на выплату концессионной платы.</w:t>
      </w:r>
    </w:p>
    <w:p w:rsidR="00600D7B" w:rsidRDefault="00600D7B" w:rsidP="00BE2371">
      <w:pPr>
        <w:ind w:firstLine="709"/>
        <w:jc w:val="both"/>
      </w:pPr>
      <w:r>
        <w:t>В КС также необходимо учесть условие, что в соответствии с ч. 4 ст. 15 Федерального закона № 115-ФЗ концессионер не получает компенсацию при прекращении КС, если будет реорганизован таким образом, что не будет соответствовать к концессионеру согласно действующему законодательству.</w:t>
      </w:r>
    </w:p>
    <w:p w:rsidR="00600D7B" w:rsidRDefault="00600D7B" w:rsidP="00BE2371">
      <w:pPr>
        <w:ind w:firstLine="709"/>
        <w:jc w:val="both"/>
        <w:rPr>
          <w:szCs w:val="28"/>
        </w:rPr>
      </w:pPr>
      <w:r>
        <w:t>По мнению департамента в КС недостаточным образом учтены мероприятия по замене трубопроводов систем водоснабжения и водоотведения</w:t>
      </w:r>
      <w:r w:rsidR="00600A2F">
        <w:t xml:space="preserve">, что является одной из наиболее существенных проблем в эксплуатации системы водоснабжения и водоотведения города на сегодняшний день. За основу взяты мероприятия, предложенные оценочными экспертными заключениями, в основном, ЗАО «Центр инжиниринга ВКХ», а также другие, рассчитанные </w:t>
      </w:r>
      <w:proofErr w:type="spellStart"/>
      <w:r w:rsidR="00600A2F">
        <w:t>МУПом</w:t>
      </w:r>
      <w:proofErr w:type="spellEnd"/>
      <w:r w:rsidR="00600A2F">
        <w:t xml:space="preserve"> в укрупненных показателях. В числе прочих в основу взяты мероприятия, выполнение которых связано с исполнением судебных решений (к примеру, реконструкция </w:t>
      </w:r>
      <w:proofErr w:type="gramStart"/>
      <w:r w:rsidR="00600A2F">
        <w:t>очистки промывных вод центральных очистных сооружений системы водоснабжения</w:t>
      </w:r>
      <w:proofErr w:type="gramEnd"/>
      <w:r w:rsidR="00600A2F">
        <w:t>). Данные мероприятия вне сомнения являются необходимыми к реализации, однако учитываться должны наравне с заменой трубопроводов. Так, в проекте КС учтена замена только 70 км водопроводо</w:t>
      </w:r>
      <w:r w:rsidR="00F158DB">
        <w:t>в и 80 км канализационных сетей, что является следствием того, что включены по остаточному принципу исходя из капиталоемкости тарифа. Данное обстоятельство может повлиять на достижение плановых показателей деятельности концессионера.</w:t>
      </w:r>
      <w:r w:rsidR="00B6386E">
        <w:t xml:space="preserve"> </w:t>
      </w:r>
      <w:proofErr w:type="gramStart"/>
      <w:r w:rsidR="00B6386E">
        <w:t xml:space="preserve">Минусом является отсутствие устройства альтернативного источника водоснабжения города, в том числе разработка подземного источника на территории Приморского района, что </w:t>
      </w:r>
      <w:proofErr w:type="spellStart"/>
      <w:r w:rsidR="00B6386E" w:rsidRPr="00DA74EE">
        <w:rPr>
          <w:szCs w:val="28"/>
        </w:rPr>
        <w:t>планово</w:t>
      </w:r>
      <w:proofErr w:type="spellEnd"/>
      <w:r w:rsidR="00B6386E" w:rsidRPr="00DA74EE">
        <w:rPr>
          <w:szCs w:val="28"/>
        </w:rPr>
        <w:t xml:space="preserve"> влияет на качество подаваемой гражданам воды на ближайшие 49 лет.</w:t>
      </w:r>
      <w:proofErr w:type="gramEnd"/>
    </w:p>
    <w:p w:rsidR="007666E5" w:rsidRDefault="007666E5" w:rsidP="00BE2371">
      <w:pPr>
        <w:ind w:firstLine="709"/>
        <w:jc w:val="both"/>
        <w:rPr>
          <w:szCs w:val="28"/>
        </w:rPr>
      </w:pPr>
      <w:r>
        <w:rPr>
          <w:szCs w:val="28"/>
        </w:rPr>
        <w:t>В проекте КС исключено условие выполнения работ новыми материалами, что ставит под сомнение качество выполняемых работ. Данный тезис был выдвинут Администрацией МО «Город Архангельск».</w:t>
      </w:r>
    </w:p>
    <w:p w:rsidR="003666CC" w:rsidRPr="00DA74EE" w:rsidRDefault="003666CC" w:rsidP="00BE237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Считаем необходимым учесть в рамках инвестиционных мероприятий строительство канализационных очистных сооружений поселка 14 лесозавода по причине складывающейся неблагоприятной ситуации на данной территории, связанной с отводом сточных вод, а также наличия данного мероприятия в инвестиционной программе МУП «Водоканал» на 2018 год.</w:t>
      </w:r>
    </w:p>
    <w:p w:rsidR="00883F0F" w:rsidRDefault="00DA74EE" w:rsidP="00883F0F">
      <w:pPr>
        <w:ind w:firstLine="709"/>
        <w:jc w:val="both"/>
        <w:rPr>
          <w:szCs w:val="28"/>
        </w:rPr>
      </w:pPr>
      <w:proofErr w:type="gramStart"/>
      <w:r w:rsidRPr="00DA74EE">
        <w:rPr>
          <w:szCs w:val="28"/>
        </w:rPr>
        <w:t>В</w:t>
      </w:r>
      <w:r>
        <w:rPr>
          <w:szCs w:val="28"/>
        </w:rPr>
        <w:t>о избежание двойного возмещения при осуществлении замены необходимо учесть (но не учтено)</w:t>
      </w:r>
      <w:r w:rsidR="00A64DB8">
        <w:rPr>
          <w:szCs w:val="28"/>
        </w:rPr>
        <w:t xml:space="preserve"> условие</w:t>
      </w:r>
      <w:r>
        <w:rPr>
          <w:szCs w:val="28"/>
        </w:rPr>
        <w:t xml:space="preserve">, </w:t>
      </w:r>
      <w:r w:rsidR="00A64DB8">
        <w:rPr>
          <w:szCs w:val="28"/>
        </w:rPr>
        <w:t>при котором в случае,</w:t>
      </w:r>
      <w:r w:rsidRPr="00DA74EE">
        <w:rPr>
          <w:szCs w:val="28"/>
        </w:rPr>
        <w:t xml:space="preserve"> если Концессионер использовал кредитные средства для осуществления капитальных вложений, то невозмещенные </w:t>
      </w:r>
      <w:r>
        <w:rPr>
          <w:szCs w:val="28"/>
        </w:rPr>
        <w:t xml:space="preserve">тарифом такие </w:t>
      </w:r>
      <w:r w:rsidRPr="00DA74EE">
        <w:rPr>
          <w:szCs w:val="28"/>
        </w:rPr>
        <w:t xml:space="preserve">капитальные вложения переходят к новому Концессионеру в качестве долга </w:t>
      </w:r>
      <w:r w:rsidR="004E49E1">
        <w:rPr>
          <w:szCs w:val="28"/>
        </w:rPr>
        <w:t>перед финансирующей организацией</w:t>
      </w:r>
      <w:r w:rsidRPr="00DA74EE">
        <w:rPr>
          <w:szCs w:val="28"/>
        </w:rPr>
        <w:t xml:space="preserve">, а возмещенные тарифом </w:t>
      </w:r>
      <w:r>
        <w:rPr>
          <w:szCs w:val="28"/>
        </w:rPr>
        <w:t xml:space="preserve">капитальные вложения </w:t>
      </w:r>
      <w:r w:rsidRPr="00DA74EE">
        <w:rPr>
          <w:szCs w:val="28"/>
        </w:rPr>
        <w:t xml:space="preserve">Концедентом </w:t>
      </w:r>
      <w:r w:rsidR="004E49E1">
        <w:rPr>
          <w:szCs w:val="28"/>
        </w:rPr>
        <w:t>ушедшему</w:t>
      </w:r>
      <w:r>
        <w:rPr>
          <w:szCs w:val="28"/>
        </w:rPr>
        <w:t xml:space="preserve"> Концессионеру </w:t>
      </w:r>
      <w:r w:rsidRPr="00DA74EE">
        <w:rPr>
          <w:szCs w:val="28"/>
        </w:rPr>
        <w:t>не возмещаются.</w:t>
      </w:r>
      <w:proofErr w:type="gramEnd"/>
      <w:r w:rsidRPr="00DA74EE">
        <w:rPr>
          <w:szCs w:val="28"/>
        </w:rPr>
        <w:t xml:space="preserve"> Таким образом</w:t>
      </w:r>
      <w:r w:rsidR="004E49E1">
        <w:rPr>
          <w:szCs w:val="28"/>
        </w:rPr>
        <w:t>,</w:t>
      </w:r>
      <w:r w:rsidRPr="00DA74EE">
        <w:rPr>
          <w:szCs w:val="28"/>
        </w:rPr>
        <w:t xml:space="preserve"> возмещению</w:t>
      </w:r>
      <w:r w:rsidR="004E49E1">
        <w:rPr>
          <w:szCs w:val="28"/>
        </w:rPr>
        <w:t xml:space="preserve"> ушедшему Концессионеру </w:t>
      </w:r>
      <w:r w:rsidRPr="00DA74EE">
        <w:rPr>
          <w:szCs w:val="28"/>
        </w:rPr>
        <w:t>подлежат только собственные инвестиции, полученные</w:t>
      </w:r>
      <w:r w:rsidR="00A64DB8">
        <w:rPr>
          <w:szCs w:val="28"/>
        </w:rPr>
        <w:t>,</w:t>
      </w:r>
      <w:r w:rsidRPr="00DA74EE">
        <w:rPr>
          <w:szCs w:val="28"/>
        </w:rPr>
        <w:t xml:space="preserve"> в том числе посредством акционерных займов</w:t>
      </w:r>
      <w:r w:rsidR="004E49E1">
        <w:rPr>
          <w:szCs w:val="28"/>
        </w:rPr>
        <w:t>.</w:t>
      </w:r>
    </w:p>
    <w:p w:rsidR="004E49E1" w:rsidRDefault="004E49E1" w:rsidP="00883F0F">
      <w:pPr>
        <w:ind w:firstLine="709"/>
        <w:jc w:val="both"/>
        <w:rPr>
          <w:szCs w:val="28"/>
        </w:rPr>
      </w:pPr>
      <w:r>
        <w:rPr>
          <w:szCs w:val="28"/>
        </w:rPr>
        <w:t>Необходимо сообщить, что принципиально замена Концессионера на основании условий, предлагаемых в проекте КС инициатором, не решает для МО «Город Архангельск» проблему выплаты компенсаций при прекращении посредством включения ее в новый концессионный конкурс, поскольку предполагаемое расторжение в своей основе может являться следствием не установления органом регулирования тарифа, соответствующего условиям КС. Таким образом, новый концессионный конкурс должен предполагать работу по тарифам, уровень которых не ниже действовавших при Концессионере, с которым произошло расторжение КС, чтобы включить в условия размер выплачиваемой компенсации, в результате чего вышеуказанные обстоятельства входят в неизбежное противоречие между собой.</w:t>
      </w:r>
    </w:p>
    <w:p w:rsidR="00970F43" w:rsidRDefault="00970F43" w:rsidP="00883F0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Информация о выплате Архангельской областью всей компенсации при прекращении КС по вине установления органом регулирования тарифов и долгосрочных параметров, не в соответствии с условиями КС, по причине действия </w:t>
      </w:r>
      <w:r w:rsidR="000A5FBE">
        <w:rPr>
          <w:szCs w:val="28"/>
        </w:rPr>
        <w:t>постановления Правительства РФ № 603 от 01.07.2014 не соответств</w:t>
      </w:r>
      <w:r>
        <w:rPr>
          <w:szCs w:val="28"/>
        </w:rPr>
        <w:t xml:space="preserve">ует </w:t>
      </w:r>
      <w:r w:rsidR="000A5FBE">
        <w:rPr>
          <w:szCs w:val="28"/>
        </w:rPr>
        <w:t>действительности, так как данное постановление регулирует только выплату возмещения недополученных доходов регулируемым организациям до уровня экономически обоснованного тарифа («дельта»).</w:t>
      </w:r>
      <w:proofErr w:type="gramEnd"/>
      <w:r w:rsidR="000A5FBE">
        <w:rPr>
          <w:szCs w:val="28"/>
        </w:rPr>
        <w:t xml:space="preserve"> В случае расторжения КС по данной причине Архангельская область компенсирует «дельту» только за невыплаченный период, в то время как концессионер осуществил расходы в размере, большем установленного в тарифе возмещения за завершенный период, возмещение которых планировал получить в будущие периоды. Компенсацию данного возмещения осуществляет в соответствии с Федеральным законом № 115-ФЗ и условиями КС МО «Город Архангельск».</w:t>
      </w:r>
    </w:p>
    <w:p w:rsidR="001845EF" w:rsidRDefault="001845EF" w:rsidP="00883F0F">
      <w:pPr>
        <w:ind w:firstLine="709"/>
        <w:jc w:val="both"/>
        <w:rPr>
          <w:szCs w:val="28"/>
        </w:rPr>
      </w:pPr>
      <w:r>
        <w:rPr>
          <w:szCs w:val="28"/>
        </w:rPr>
        <w:t xml:space="preserve">Также предлагается исключить из КС особое обстоятельство, связанное с неполучением концессионером технических условий, считаем, что в таком случае концессионеру необходимо в обычном порядке проводить корректировку проектной документации с целью определения иных параметров получения технических условий. МО «Город Архангельск» не обладает полномочиями директивно указывать ресурсоснабжающим организациям о выдаче технических условий. Считаем включение в особые обстоятельства </w:t>
      </w:r>
      <w:r>
        <w:rPr>
          <w:szCs w:val="28"/>
        </w:rPr>
        <w:lastRenderedPageBreak/>
        <w:t>данного условия необоснованным и стимулирующим концессионера к расторжению концессионного соглашения с целью получения компенсации при прекращении.</w:t>
      </w:r>
    </w:p>
    <w:p w:rsidR="00660362" w:rsidRPr="00DA74EE" w:rsidRDefault="00660362" w:rsidP="00F725BC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Случаи расторжения КС на основании решения суда на основании требования концессионера считаем возможным ограничить условиями по умолчанию ст. 15 Федерального закона № 115-ФЗ для стимулирования концессионера продолжать концессионную деятельность, а не «стремиться» к расторжению КС. Обратиться в суд концессионер при любых обстоятельствах может в обычном порядке.</w:t>
      </w:r>
    </w:p>
    <w:p w:rsidR="000149BF" w:rsidRDefault="00FA3A44" w:rsidP="000149B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D11">
        <w:tab/>
      </w:r>
      <w:r w:rsidR="00A401F2">
        <w:t xml:space="preserve">По мнению департамента в условия </w:t>
      </w:r>
      <w:r w:rsidR="00660362">
        <w:t xml:space="preserve">КС </w:t>
      </w:r>
      <w:r w:rsidR="00A401F2">
        <w:t xml:space="preserve">не требуется включать порядок возмещения убытков концессионера, поскольку данные убытки концессионер имеет возможность включить в тариф как выпадающие расходы либо предъявить в судебном порядке, либо предъявить при расторжении концессионного соглашения. Предлагается установить право концедента оплачивать данные убытки до срока расторжения </w:t>
      </w:r>
      <w:r w:rsidR="00660362">
        <w:t xml:space="preserve">КС </w:t>
      </w:r>
      <w:r w:rsidR="00A401F2">
        <w:t>на основании уведомления концессионера</w:t>
      </w:r>
      <w:r w:rsidR="00660362">
        <w:t>,</w:t>
      </w:r>
      <w:r w:rsidR="00A401F2">
        <w:t xml:space="preserve"> однако</w:t>
      </w:r>
      <w:r w:rsidR="00660362">
        <w:t>,</w:t>
      </w:r>
      <w:r w:rsidR="00A401F2">
        <w:t xml:space="preserve"> без соответствующего обязательства</w:t>
      </w:r>
      <w:r w:rsidR="00660362">
        <w:t>.</w:t>
      </w:r>
    </w:p>
    <w:p w:rsidR="00805213" w:rsidRDefault="00F725BC" w:rsidP="000149B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Для сохранения КС, снижения рисков его расторжения и выплат соответствующих компенсаций при прекращении КС департамент считает необходимым включение процесса медиации (переговоров) со сроками, достаточными для поиска возможности договориться в досудебном порядке (до 180 дней). Однако условия досудебного разбирательства, описанные в порядке разрешения споров, сводятся к установлению и разрешению финансовых претензий, со сроком рассмотрения в совещательном порядке не более 60 дней. </w:t>
      </w:r>
      <w:proofErr w:type="gramStart"/>
      <w:r>
        <w:rPr>
          <w:szCs w:val="28"/>
        </w:rPr>
        <w:t>Такой порядок споров применяется для разрешения вопросов и нефинансового характера: согласование проектной документации, приемки выполненных работ, изменение условий КС, др. Что свидетельствует об отсутствии в КС закрепленного механизма урегулирования разногласий, направленного на сохранение КС, а не ведущего к его расторжению (свидетельство занятия инициатором такой позиции подтверждается тем, что изначально предлагалось ввести механизм медиации и было одобрено со стороны инициатора, однако</w:t>
      </w:r>
      <w:proofErr w:type="gramEnd"/>
      <w:r>
        <w:rPr>
          <w:szCs w:val="28"/>
        </w:rPr>
        <w:t xml:space="preserve"> отклонено впоследствии).</w:t>
      </w:r>
    </w:p>
    <w:p w:rsidR="005D5923" w:rsidRDefault="008C7D27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Департамент считает, что безотзывная банковская гарантия, служащая инструментом защиты Концедента</w:t>
      </w:r>
      <w:r w:rsidR="000149BF">
        <w:rPr>
          <w:szCs w:val="28"/>
        </w:rPr>
        <w:t>,</w:t>
      </w:r>
      <w:r>
        <w:rPr>
          <w:szCs w:val="28"/>
        </w:rPr>
        <w:t xml:space="preserve"> недостаточным образом применена в условиях проекта КС</w:t>
      </w:r>
      <w:r w:rsidR="000149BF">
        <w:rPr>
          <w:szCs w:val="28"/>
        </w:rPr>
        <w:t>. Годовой размер выплачиваемых по такой банковской гарантии средств концеденту составляет 20,8 тыс. рублей за каждый год, что</w:t>
      </w:r>
      <w:r w:rsidR="00872305">
        <w:rPr>
          <w:szCs w:val="28"/>
        </w:rPr>
        <w:t xml:space="preserve">, к примеру, </w:t>
      </w:r>
      <w:r w:rsidR="000149BF">
        <w:rPr>
          <w:szCs w:val="28"/>
        </w:rPr>
        <w:t xml:space="preserve"> в 10 000 раз меньше стоимости строительства кольцевого водовода, включенного в инвестиционные мероприятия </w:t>
      </w:r>
      <w:r w:rsidR="000149BF" w:rsidRPr="00497A75">
        <w:rPr>
          <w:szCs w:val="28"/>
        </w:rPr>
        <w:t xml:space="preserve">проекта КС. Предлагается изменить условия применения банковской гарантии следующим образом: </w:t>
      </w:r>
      <w:r w:rsidR="00497A75">
        <w:rPr>
          <w:szCs w:val="28"/>
        </w:rPr>
        <w:t>б</w:t>
      </w:r>
      <w:r w:rsidR="00497A75" w:rsidRPr="00497A75">
        <w:rPr>
          <w:szCs w:val="28"/>
        </w:rPr>
        <w:t>анковская гарантия должна выдаваться на каждый создаваемый и (или) реконструируемый в соответствии с Градостроительным кодексом объект капитального строительства и действовать от начала строительства и (или) реконструкции такого объекта до срока ввода его в эксплуатацию</w:t>
      </w:r>
      <w:r w:rsidR="005D5923">
        <w:rPr>
          <w:szCs w:val="28"/>
        </w:rPr>
        <w:t xml:space="preserve">. Такое условие позволит избежать передачи при расторжении КС в МО «Город Архангельск» объектов незавершенного строительства, восстановление строительства которых через определенный период потребует проведения </w:t>
      </w:r>
      <w:r w:rsidR="005D5923">
        <w:rPr>
          <w:szCs w:val="28"/>
        </w:rPr>
        <w:lastRenderedPageBreak/>
        <w:t>технических экспертиз с результатом их последующей ликвидации, а также позволит эксплуатировать их во временном режиме после расторжения КС.</w:t>
      </w:r>
    </w:p>
    <w:p w:rsidR="00600D3D" w:rsidRDefault="00AB5FAC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Отдельной особенностью, имеющей возможность нарушить баланс договоренностей между концессионером (инициатором) и концедентом, является Соглашение о порядке взаимодействия с финансирующей организацией (далее – Соглашение), существенные условия которого приведены в КС, среди которых необходимо выделить следующие:</w:t>
      </w:r>
    </w:p>
    <w:p w:rsidR="00AB5FAC" w:rsidRDefault="00AB5FAC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права сторон по КС ограничиваются Соглашением;</w:t>
      </w:r>
    </w:p>
    <w:p w:rsidR="00AB5FAC" w:rsidRDefault="00AB5FAC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изменение условий КС невозможно без согласия финансирующей организации (далее – банка);</w:t>
      </w:r>
    </w:p>
    <w:p w:rsidR="00AB5FAC" w:rsidRDefault="00AB5FAC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банк при нарушении концессионером соглашения о финансировании (кредитного договора) направляет любой из сторон КС требование об инициации расторжения КС, при которой (как установлено условиями проекта КС) МО «Город Архангельск» выплачивает компенсацию при прекращении, включающую переведенный долг;</w:t>
      </w:r>
    </w:p>
    <w:p w:rsidR="00AB5FAC" w:rsidRDefault="00AB5FAC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банк имеет право предложить свой расчет компенсации при прекращении, при </w:t>
      </w:r>
      <w:proofErr w:type="gramStart"/>
      <w:r>
        <w:rPr>
          <w:szCs w:val="28"/>
        </w:rPr>
        <w:t>том</w:t>
      </w:r>
      <w:proofErr w:type="gramEnd"/>
      <w:r>
        <w:rPr>
          <w:szCs w:val="28"/>
        </w:rPr>
        <w:t xml:space="preserve"> что выплата осуществляется концедентом уже не </w:t>
      </w:r>
      <w:r w:rsidR="00EF4CA6">
        <w:rPr>
          <w:szCs w:val="28"/>
        </w:rPr>
        <w:t>концессионеру, а напрямую банку;</w:t>
      </w:r>
    </w:p>
    <w:p w:rsidR="00EF4CA6" w:rsidRDefault="00EF4CA6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банк запрещает сторонам досрочно расторгнуть КС по соглашению сторон без выплат компенсации при прекращении КС.</w:t>
      </w:r>
    </w:p>
    <w:p w:rsidR="00EF4CA6" w:rsidRDefault="00EF4CA6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Департамент считает предложенные существенные условия данного Соглашения неприемлемыми, способствующими поставить МО «Город Архангельск» в заведомо невыгодное положение.</w:t>
      </w:r>
      <w:r w:rsidR="002E705A">
        <w:rPr>
          <w:szCs w:val="28"/>
        </w:rPr>
        <w:t xml:space="preserve"> Корректировки данных условий Соглашения инициатор внести не увидел необходимости, объясняя соответствующей непримиримой позицией банков в данном вопросе.</w:t>
      </w:r>
    </w:p>
    <w:p w:rsidR="00D92B19" w:rsidRDefault="00D92B19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Необходимо указать, что в соответствии с частью 4 статьи 36 ФЗ «О концессионных соглашениях» настоящее Концессионное соглашение вступает в силу с момента его подписания всеми сторонами, но не ранее получения согласования Архангельской городской Думы условий настоящего Концессионного соглашения, что может стать обстоятельством превышения полномочий Администрации МО «Город Архангельск».</w:t>
      </w:r>
    </w:p>
    <w:p w:rsidR="002151C5" w:rsidRDefault="002E705A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заключение отмечаем, что </w:t>
      </w:r>
      <w:proofErr w:type="gramStart"/>
      <w:r>
        <w:rPr>
          <w:szCs w:val="28"/>
        </w:rPr>
        <w:t>важнейшим фактором, позволяющим при досрочном расторжении КС привести муниципальное образование к внешнему финансовому управлению является</w:t>
      </w:r>
      <w:proofErr w:type="gramEnd"/>
      <w:r>
        <w:rPr>
          <w:szCs w:val="28"/>
        </w:rPr>
        <w:t xml:space="preserve"> выплата компенсации при прекращении. На основании Вашего поручения рассчитаны объемы компенсации, требуемые к выплате концедентом при расторжении КС концессионеру (либо банку) в срок кредитования, принятый в размере 15 лет с момента заключения КС. </w:t>
      </w:r>
    </w:p>
    <w:p w:rsidR="00D92B19" w:rsidRDefault="00FE40E1" w:rsidP="0004637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Первая часть р</w:t>
      </w:r>
      <w:r w:rsidR="002E705A">
        <w:rPr>
          <w:szCs w:val="28"/>
        </w:rPr>
        <w:t>асчет</w:t>
      </w:r>
      <w:r>
        <w:rPr>
          <w:szCs w:val="28"/>
        </w:rPr>
        <w:t>а</w:t>
      </w:r>
      <w:r w:rsidR="002E705A">
        <w:rPr>
          <w:szCs w:val="28"/>
        </w:rPr>
        <w:t xml:space="preserve"> учитывает </w:t>
      </w:r>
      <w:r>
        <w:rPr>
          <w:szCs w:val="28"/>
        </w:rPr>
        <w:t xml:space="preserve">размер компенсации при </w:t>
      </w:r>
      <w:r w:rsidR="002E705A">
        <w:rPr>
          <w:szCs w:val="28"/>
        </w:rPr>
        <w:t xml:space="preserve">инициации </w:t>
      </w:r>
      <w:r>
        <w:rPr>
          <w:szCs w:val="28"/>
        </w:rPr>
        <w:t>расторжения концедентом, Архангельской областью или банком с учетом выплаты компенсации капитальных вложений и других затрат, осуществленных концессионером в течение 15 лет (предположительный максимальный срок кредитования концессионера) при расторжении в первом году действия КС с последовательным ежегодным снижением срока до 1 года с увеличением соответственно календарного года расторжения КС, а также выплате переведенного</w:t>
      </w:r>
      <w:proofErr w:type="gramEnd"/>
      <w:r>
        <w:rPr>
          <w:szCs w:val="28"/>
        </w:rPr>
        <w:t xml:space="preserve"> долга концедентом при расторжении КС в течение 4 лет.</w:t>
      </w:r>
      <w:r w:rsidR="00D92B19">
        <w:rPr>
          <w:szCs w:val="28"/>
        </w:rPr>
        <w:br w:type="page"/>
      </w:r>
    </w:p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1291"/>
        <w:gridCol w:w="1008"/>
        <w:gridCol w:w="576"/>
        <w:gridCol w:w="576"/>
        <w:gridCol w:w="576"/>
        <w:gridCol w:w="576"/>
        <w:gridCol w:w="576"/>
        <w:gridCol w:w="576"/>
        <w:gridCol w:w="576"/>
        <w:gridCol w:w="576"/>
        <w:gridCol w:w="621"/>
        <w:gridCol w:w="576"/>
        <w:gridCol w:w="576"/>
        <w:gridCol w:w="576"/>
        <w:gridCol w:w="576"/>
        <w:gridCol w:w="576"/>
        <w:gridCol w:w="649"/>
      </w:tblGrid>
      <w:tr w:rsidR="00A4600E" w:rsidRPr="00A4600E" w:rsidTr="00851B43">
        <w:trPr>
          <w:trHeight w:val="5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ind w:left="-82" w:firstLine="82"/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lastRenderedPageBreak/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Годовая выплата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2018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2019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2021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2022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2023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2024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2026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2027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2028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2029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2031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2032</w:t>
            </w:r>
          </w:p>
        </w:tc>
      </w:tr>
      <w:tr w:rsidR="00A4600E" w:rsidRPr="00A4600E" w:rsidTr="00851B43">
        <w:trPr>
          <w:trHeight w:val="4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Год расторжения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i/>
                <w:color w:val="000000"/>
                <w:sz w:val="18"/>
                <w:szCs w:val="24"/>
              </w:rPr>
            </w:pPr>
            <w:r w:rsidRPr="00A4600E">
              <w:rPr>
                <w:i/>
                <w:color w:val="000000"/>
                <w:sz w:val="18"/>
                <w:szCs w:val="24"/>
              </w:rPr>
              <w:t>х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600E" w:rsidRPr="00A4600E" w:rsidRDefault="00A4600E" w:rsidP="00A4600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</w:tr>
      <w:tr w:rsidR="00A4600E" w:rsidRPr="00A4600E" w:rsidTr="00851B43">
        <w:trPr>
          <w:trHeight w:val="330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36</w:t>
            </w:r>
          </w:p>
        </w:tc>
      </w:tr>
      <w:tr w:rsidR="00A4600E" w:rsidRPr="00A4600E" w:rsidTr="00851B43">
        <w:trPr>
          <w:trHeight w:val="228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97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63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57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167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108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98</w:t>
            </w:r>
          </w:p>
        </w:tc>
      </w:tr>
      <w:tr w:rsidR="00A4600E" w:rsidRPr="00A4600E" w:rsidTr="00851B43">
        <w:trPr>
          <w:trHeight w:val="364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219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141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128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164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149</w:t>
            </w:r>
          </w:p>
        </w:tc>
      </w:tr>
      <w:tr w:rsidR="00A4600E" w:rsidRPr="00A4600E" w:rsidTr="00851B43">
        <w:trPr>
          <w:trHeight w:val="359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587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208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189</w:t>
            </w:r>
          </w:p>
        </w:tc>
      </w:tr>
      <w:tr w:rsidR="00A4600E" w:rsidRPr="00A4600E" w:rsidTr="00851B43">
        <w:trPr>
          <w:trHeight w:val="283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2024 (пиковая нагрузка)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576EEC" w:rsidRDefault="00A4600E" w:rsidP="00A4600E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589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576EEC" w:rsidRDefault="00A4600E" w:rsidP="00A4600E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569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548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528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283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262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242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222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201</w:t>
            </w:r>
          </w:p>
        </w:tc>
      </w:tr>
      <w:tr w:rsidR="00A4600E" w:rsidRPr="00A4600E" w:rsidTr="00851B43">
        <w:trPr>
          <w:trHeight w:val="247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567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200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233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212</w:t>
            </w:r>
          </w:p>
        </w:tc>
      </w:tr>
      <w:tr w:rsidR="00A4600E" w:rsidRPr="00A4600E" w:rsidTr="00851B43">
        <w:trPr>
          <w:trHeight w:val="251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251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251</w:t>
            </w:r>
          </w:p>
        </w:tc>
      </w:tr>
      <w:tr w:rsidR="00A4600E" w:rsidRPr="00A4600E" w:rsidTr="00851B43">
        <w:trPr>
          <w:trHeight w:val="246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2028 (пиковая нагрузка)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576EEC" w:rsidRDefault="00A4600E" w:rsidP="00A4600E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592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576EEC" w:rsidRDefault="00A4600E" w:rsidP="00A4600E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566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539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513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261</w:t>
            </w:r>
          </w:p>
        </w:tc>
      </w:tr>
      <w:tr w:rsidR="00A4600E" w:rsidRPr="00A4600E" w:rsidTr="00851B43">
        <w:trPr>
          <w:trHeight w:val="277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487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502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476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464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442</w:t>
            </w:r>
          </w:p>
        </w:tc>
      </w:tr>
      <w:tr w:rsidR="00A4600E" w:rsidRPr="00A4600E" w:rsidTr="00851B43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A4600E">
              <w:rPr>
                <w:b/>
                <w:bCs/>
                <w:color w:val="000000"/>
                <w:sz w:val="18"/>
                <w:szCs w:val="24"/>
              </w:rPr>
              <w:t>2032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center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0E" w:rsidRPr="00A4600E" w:rsidRDefault="00A4600E" w:rsidP="00A4600E">
            <w:pPr>
              <w:jc w:val="right"/>
              <w:rPr>
                <w:color w:val="000000"/>
                <w:sz w:val="18"/>
                <w:szCs w:val="24"/>
              </w:rPr>
            </w:pPr>
            <w:r w:rsidRPr="00A4600E">
              <w:rPr>
                <w:color w:val="000000"/>
                <w:sz w:val="18"/>
                <w:szCs w:val="24"/>
              </w:rPr>
              <w:t>279</w:t>
            </w:r>
          </w:p>
        </w:tc>
      </w:tr>
    </w:tbl>
    <w:p w:rsidR="00FE40E1" w:rsidRDefault="00FE40E1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51B43" w:rsidRDefault="00A4600E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Как видно из представленн</w:t>
      </w:r>
      <w:r w:rsidR="00851B43">
        <w:rPr>
          <w:szCs w:val="28"/>
        </w:rPr>
        <w:t>ой таблицы в пиковые периоды 202</w:t>
      </w:r>
      <w:r>
        <w:rPr>
          <w:szCs w:val="28"/>
        </w:rPr>
        <w:t>4 и 2028 годов ежегодная выплата МО «Город Архангельск» превысит 580</w:t>
      </w:r>
      <w:r w:rsidR="00851B43">
        <w:rPr>
          <w:szCs w:val="28"/>
        </w:rPr>
        <w:t xml:space="preserve"> </w:t>
      </w:r>
      <w:r>
        <w:rPr>
          <w:szCs w:val="28"/>
        </w:rPr>
        <w:t>÷</w:t>
      </w:r>
      <w:r w:rsidR="00851B43">
        <w:rPr>
          <w:szCs w:val="28"/>
        </w:rPr>
        <w:t xml:space="preserve"> </w:t>
      </w:r>
      <w:r>
        <w:rPr>
          <w:szCs w:val="28"/>
        </w:rPr>
        <w:t>590 млн.</w:t>
      </w:r>
      <w:r w:rsidR="00851B43">
        <w:rPr>
          <w:szCs w:val="28"/>
        </w:rPr>
        <w:t> </w:t>
      </w:r>
      <w:r>
        <w:rPr>
          <w:szCs w:val="28"/>
        </w:rPr>
        <w:t>рублей ежегодно</w:t>
      </w:r>
      <w:r w:rsidR="00851B43">
        <w:rPr>
          <w:szCs w:val="28"/>
        </w:rPr>
        <w:t>, что приведет к внешнему финансовому управлению му</w:t>
      </w:r>
      <w:r w:rsidR="00E12577">
        <w:rPr>
          <w:szCs w:val="28"/>
        </w:rPr>
        <w:t xml:space="preserve">ниципальным образованием уже </w:t>
      </w:r>
      <w:r w:rsidR="00291776">
        <w:rPr>
          <w:szCs w:val="28"/>
        </w:rPr>
        <w:t>к окончанию второго</w:t>
      </w:r>
      <w:r w:rsidR="00851B43">
        <w:rPr>
          <w:szCs w:val="28"/>
        </w:rPr>
        <w:t xml:space="preserve"> год</w:t>
      </w:r>
      <w:r w:rsidR="00291776">
        <w:rPr>
          <w:szCs w:val="28"/>
        </w:rPr>
        <w:t>а</w:t>
      </w:r>
      <w:r w:rsidR="00851B43">
        <w:rPr>
          <w:szCs w:val="28"/>
        </w:rPr>
        <w:t xml:space="preserve"> выплаты компенсации, исходя из максимальных возможностей выплат городского бюджета в условиях кредитования в пределах дефицита бюджета (до 10 %</w:t>
      </w:r>
      <w:r w:rsidR="00281748">
        <w:rPr>
          <w:szCs w:val="28"/>
        </w:rPr>
        <w:t>,</w:t>
      </w:r>
      <w:r w:rsidR="00851B43">
        <w:rPr>
          <w:szCs w:val="28"/>
        </w:rPr>
        <w:t xml:space="preserve"> в млн. рублей):</w:t>
      </w:r>
      <w:proofErr w:type="gramEnd"/>
    </w:p>
    <w:p w:rsidR="00851B43" w:rsidRDefault="00851B43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53"/>
        <w:gridCol w:w="937"/>
        <w:gridCol w:w="876"/>
        <w:gridCol w:w="876"/>
        <w:gridCol w:w="876"/>
        <w:gridCol w:w="5136"/>
      </w:tblGrid>
      <w:tr w:rsidR="002745A3" w:rsidRPr="00851B43" w:rsidTr="00FE3DFB">
        <w:trPr>
          <w:trHeight w:val="4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 год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 год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5A3" w:rsidRPr="00851B43" w:rsidRDefault="002745A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год – внешнее финансовое управление</w:t>
            </w:r>
          </w:p>
        </w:tc>
      </w:tr>
      <w:tr w:rsidR="00851B43" w:rsidRPr="00851B43" w:rsidTr="00FE3DFB">
        <w:trPr>
          <w:trHeight w:val="4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279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252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226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B43" w:rsidRPr="00851B43" w:rsidRDefault="00851B43" w:rsidP="00851B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1B43">
              <w:rPr>
                <w:i/>
                <w:iCs/>
                <w:color w:val="000000"/>
                <w:sz w:val="24"/>
                <w:szCs w:val="24"/>
              </w:rPr>
              <w:t>183</w:t>
            </w:r>
          </w:p>
        </w:tc>
      </w:tr>
    </w:tbl>
    <w:p w:rsidR="00851B43" w:rsidRDefault="00851B43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4600E" w:rsidRDefault="00851B43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Ситуация будет осложнена отсутствием возможности оперативно определить нового концессионера по причине длительных сроков конкурсных процедур и отсутствия гарантии установления тарифа достаточного уровня для включения задолженности перед предыдущим концессионером в КС, заключаемое с новым концессионером.</w:t>
      </w:r>
      <w:proofErr w:type="gramEnd"/>
    </w:p>
    <w:p w:rsidR="002151C5" w:rsidRDefault="002151C5" w:rsidP="002151C5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Вторая часть расчета учитывает размер компенсации при инициации расторжения Концессионером или банком с учетом выплаты компенсации капитальных вложений и других затрат, осуществленных концессионером в течение 15 лет (предположительный максимальный срок кредитования концессионера) при расторжении в первом году действия КС с последовательным ежегодным снижением срока до 1 года с увеличением соответственно календарного года расторжения КС, при этом выплата переведенного долга концессионеру</w:t>
      </w:r>
      <w:proofErr w:type="gramEnd"/>
      <w:r>
        <w:rPr>
          <w:szCs w:val="28"/>
        </w:rPr>
        <w:t xml:space="preserve"> не выплачивается.</w:t>
      </w:r>
    </w:p>
    <w:p w:rsidR="0004637C" w:rsidRDefault="0004637C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91"/>
        <w:gridCol w:w="1008"/>
        <w:gridCol w:w="576"/>
        <w:gridCol w:w="576"/>
        <w:gridCol w:w="576"/>
        <w:gridCol w:w="576"/>
        <w:gridCol w:w="576"/>
        <w:gridCol w:w="576"/>
        <w:gridCol w:w="576"/>
        <w:gridCol w:w="630"/>
        <w:gridCol w:w="576"/>
        <w:gridCol w:w="576"/>
        <w:gridCol w:w="576"/>
        <w:gridCol w:w="576"/>
        <w:gridCol w:w="576"/>
        <w:gridCol w:w="576"/>
        <w:gridCol w:w="640"/>
      </w:tblGrid>
      <w:tr w:rsidR="00291776" w:rsidRPr="00291776" w:rsidTr="00291776">
        <w:trPr>
          <w:trHeight w:val="58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lastRenderedPageBreak/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Годовая выплата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2018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2019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2021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2022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2023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2024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2025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2026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2027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2028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2029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2031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2032</w:t>
            </w:r>
          </w:p>
        </w:tc>
      </w:tr>
      <w:tr w:rsidR="00291776" w:rsidRPr="00291776" w:rsidTr="00291776">
        <w:trPr>
          <w:trHeight w:val="6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Год расторжения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х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776" w:rsidRPr="00291776" w:rsidRDefault="00291776" w:rsidP="00291776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</w:tr>
      <w:tr w:rsidR="00291776" w:rsidRPr="00291776" w:rsidTr="00291776">
        <w:trPr>
          <w:trHeight w:val="189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36</w:t>
            </w:r>
          </w:p>
        </w:tc>
      </w:tr>
      <w:tr w:rsidR="00291776" w:rsidRPr="00291776" w:rsidTr="00291776">
        <w:trPr>
          <w:trHeight w:val="250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57</w:t>
            </w:r>
          </w:p>
        </w:tc>
      </w:tr>
      <w:tr w:rsidR="00291776" w:rsidRPr="00291776" w:rsidTr="00291776">
        <w:trPr>
          <w:trHeight w:val="281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177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98</w:t>
            </w:r>
          </w:p>
        </w:tc>
      </w:tr>
      <w:tr w:rsidR="00291776" w:rsidRPr="00291776" w:rsidTr="00291776">
        <w:trPr>
          <w:trHeight w:val="258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128</w:t>
            </w:r>
          </w:p>
        </w:tc>
      </w:tr>
      <w:tr w:rsidR="00291776" w:rsidRPr="00291776" w:rsidTr="00291776">
        <w:trPr>
          <w:trHeight w:val="27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149</w:t>
            </w:r>
          </w:p>
        </w:tc>
      </w:tr>
      <w:tr w:rsidR="00291776" w:rsidRPr="00291776" w:rsidTr="00291776">
        <w:trPr>
          <w:trHeight w:val="266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189</w:t>
            </w:r>
          </w:p>
        </w:tc>
      </w:tr>
      <w:tr w:rsidR="00291776" w:rsidRPr="00291776" w:rsidTr="00291776">
        <w:trPr>
          <w:trHeight w:val="273"/>
        </w:trPr>
        <w:tc>
          <w:tcPr>
            <w:tcW w:w="22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2024 (пиковая нагрузка)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364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344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323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303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283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262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242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222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201</w:t>
            </w:r>
          </w:p>
        </w:tc>
      </w:tr>
      <w:tr w:rsidR="00291776" w:rsidRPr="00291776" w:rsidTr="00291776">
        <w:trPr>
          <w:trHeight w:val="315"/>
        </w:trPr>
        <w:tc>
          <w:tcPr>
            <w:tcW w:w="2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200</w:t>
            </w:r>
          </w:p>
        </w:tc>
      </w:tr>
      <w:tr w:rsidR="00291776" w:rsidRPr="00291776" w:rsidTr="00291776">
        <w:trPr>
          <w:trHeight w:val="31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212</w:t>
            </w:r>
          </w:p>
        </w:tc>
      </w:tr>
      <w:tr w:rsidR="00291776" w:rsidRPr="00291776" w:rsidTr="00291776">
        <w:trPr>
          <w:trHeight w:val="330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251</w:t>
            </w:r>
          </w:p>
        </w:tc>
      </w:tr>
      <w:tr w:rsidR="00291776" w:rsidRPr="00291776" w:rsidTr="00291776">
        <w:trPr>
          <w:trHeight w:val="264"/>
        </w:trPr>
        <w:tc>
          <w:tcPr>
            <w:tcW w:w="22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2028 (пиковая нагрузка)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367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341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576EEC" w:rsidRDefault="00291776" w:rsidP="00291776">
            <w:pPr>
              <w:jc w:val="right"/>
              <w:rPr>
                <w:b/>
                <w:color w:val="000000"/>
                <w:sz w:val="18"/>
                <w:szCs w:val="24"/>
              </w:rPr>
            </w:pPr>
            <w:r w:rsidRPr="00576EEC">
              <w:rPr>
                <w:b/>
                <w:color w:val="000000"/>
                <w:sz w:val="18"/>
                <w:szCs w:val="24"/>
              </w:rPr>
              <w:t>314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288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261</w:t>
            </w:r>
          </w:p>
        </w:tc>
      </w:tr>
      <w:tr w:rsidR="00291776" w:rsidRPr="00291776" w:rsidTr="00291776">
        <w:trPr>
          <w:trHeight w:val="253"/>
        </w:trPr>
        <w:tc>
          <w:tcPr>
            <w:tcW w:w="2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262</w:t>
            </w:r>
          </w:p>
        </w:tc>
      </w:tr>
      <w:tr w:rsidR="00291776" w:rsidRPr="00291776" w:rsidTr="00291776">
        <w:trPr>
          <w:trHeight w:val="281"/>
        </w:trPr>
        <w:tc>
          <w:tcPr>
            <w:tcW w:w="2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302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251</w:t>
            </w:r>
          </w:p>
        </w:tc>
      </w:tr>
      <w:tr w:rsidR="00291776" w:rsidRPr="00291776" w:rsidTr="00291776">
        <w:trPr>
          <w:trHeight w:val="272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217</w:t>
            </w:r>
          </w:p>
        </w:tc>
      </w:tr>
      <w:tr w:rsidR="00291776" w:rsidRPr="00291776" w:rsidTr="00291776">
        <w:trPr>
          <w:trHeight w:val="275"/>
        </w:trPr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b/>
                <w:bCs/>
                <w:color w:val="000000"/>
                <w:sz w:val="18"/>
                <w:szCs w:val="24"/>
              </w:rPr>
            </w:pPr>
            <w:r w:rsidRPr="00291776">
              <w:rPr>
                <w:b/>
                <w:bCs/>
                <w:color w:val="000000"/>
                <w:sz w:val="18"/>
                <w:szCs w:val="24"/>
              </w:rPr>
              <w:t>2032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center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76" w:rsidRPr="00291776" w:rsidRDefault="00291776" w:rsidP="00291776">
            <w:pPr>
              <w:jc w:val="right"/>
              <w:rPr>
                <w:color w:val="000000"/>
                <w:sz w:val="18"/>
                <w:szCs w:val="24"/>
              </w:rPr>
            </w:pPr>
            <w:r w:rsidRPr="00291776">
              <w:rPr>
                <w:color w:val="000000"/>
                <w:sz w:val="18"/>
                <w:szCs w:val="24"/>
              </w:rPr>
              <w:t>54</w:t>
            </w:r>
          </w:p>
        </w:tc>
      </w:tr>
    </w:tbl>
    <w:p w:rsidR="00291776" w:rsidRDefault="00291776" w:rsidP="002151C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91776" w:rsidRDefault="00291776" w:rsidP="00291776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Как видно из представленной таблицы в пиковые периоды 2024 и 2028 годов ежегодная выплата МО «Город Архангельск» превысит </w:t>
      </w:r>
      <w:r w:rsidR="00E12577">
        <w:rPr>
          <w:szCs w:val="28"/>
        </w:rPr>
        <w:t>320</w:t>
      </w:r>
      <w:r>
        <w:rPr>
          <w:szCs w:val="28"/>
        </w:rPr>
        <w:t xml:space="preserve"> ÷ </w:t>
      </w:r>
      <w:r w:rsidR="00E12577">
        <w:rPr>
          <w:szCs w:val="28"/>
        </w:rPr>
        <w:t>360</w:t>
      </w:r>
      <w:r>
        <w:rPr>
          <w:szCs w:val="28"/>
        </w:rPr>
        <w:t xml:space="preserve"> млн. рублей ежегодно, что приведет к внешнему финансовому управлению муниципальным образованием уже к окончанию третьего года выплаты компенсации, исходя из вышеуказанных максимальных возможностей выплат городского бюджета в условиях кредитования в пределах дефицита бюджета.</w:t>
      </w:r>
      <w:proofErr w:type="gramEnd"/>
    </w:p>
    <w:p w:rsidR="00066BA9" w:rsidRDefault="00066BA9" w:rsidP="00291776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Также необходимо сообщить, что любое заключаемое между Администрацией МО «Город Архангельск» и Архангельской областью соглашение о поддержке со стороны Архангельской области (в том числе финансовой) при возникновении ситуации с выплатой компенсации при расторжении КС Концедентом не может считаться гарантированной поддержкой вышестоящего бюджета во избежание негативных последствий для местного бюджета, так как, по мнению департамента, </w:t>
      </w:r>
      <w:r w:rsidR="001D62AD">
        <w:rPr>
          <w:szCs w:val="28"/>
        </w:rPr>
        <w:t xml:space="preserve">гарантированно </w:t>
      </w:r>
      <w:r>
        <w:rPr>
          <w:szCs w:val="28"/>
        </w:rPr>
        <w:t>такая поддержка может устанавливаться только</w:t>
      </w:r>
      <w:proofErr w:type="gramEnd"/>
      <w:r>
        <w:rPr>
          <w:szCs w:val="28"/>
        </w:rPr>
        <w:t xml:space="preserve"> непосредственно в условиях КС.</w:t>
      </w:r>
    </w:p>
    <w:p w:rsidR="001D587D" w:rsidRDefault="001D587D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Альтернативными</w:t>
      </w:r>
      <w:proofErr w:type="gramEnd"/>
      <w:r>
        <w:rPr>
          <w:szCs w:val="28"/>
        </w:rPr>
        <w:t xml:space="preserve"> вариантом разрешения ситуации департамент считает следующие:</w:t>
      </w:r>
    </w:p>
    <w:p w:rsidR="001D587D" w:rsidRDefault="001D587D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установление срока выплат компенсации при прекращении КС в срок не менее 35 лет муниципальным образованием по 50 млн. рублей в год (сумма предложена заместителем Главы по вопросам экономического развития и финансам Шапошниковым Д. В.) при условии выплат компенсации по переведенному долгу Архангельской областью в течение 18 лет также по 50 млн. рублей в год с учетом корректировки проекта КС согласно</w:t>
      </w:r>
      <w:proofErr w:type="gramEnd"/>
      <w:r>
        <w:rPr>
          <w:szCs w:val="28"/>
        </w:rPr>
        <w:t xml:space="preserve"> указанным в настоящем заключении аспектам;</w:t>
      </w:r>
    </w:p>
    <w:p w:rsidR="001D587D" w:rsidRDefault="001D587D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проведение открытого конкурса по отбору концессионера на условиях, приемлемых для МО «Город Архангельск», </w:t>
      </w:r>
      <w:r w:rsidR="009A4690">
        <w:rPr>
          <w:szCs w:val="28"/>
        </w:rPr>
        <w:t xml:space="preserve">с определением концессионера </w:t>
      </w:r>
      <w:r>
        <w:rPr>
          <w:szCs w:val="28"/>
        </w:rPr>
        <w:t>к началу 2019 года (долгосрочный период регулирования МУП «Водоканал» установлен на трехлетний период 2016-2018 гг.)</w:t>
      </w:r>
      <w:r w:rsidR="009A4690">
        <w:rPr>
          <w:szCs w:val="28"/>
        </w:rPr>
        <w:t xml:space="preserve">, с дополнительным </w:t>
      </w:r>
      <w:r w:rsidR="009A4690">
        <w:rPr>
          <w:szCs w:val="28"/>
        </w:rPr>
        <w:lastRenderedPageBreak/>
        <w:t xml:space="preserve">погашением кредиторской задолженности МУП «Водоканал» через службу судебных приставов в течение 2018 года, соответствующего сокращения суммы переводимого долга с 900 до ориентировочно 600 млн. рублей, соизмеримого </w:t>
      </w:r>
      <w:r w:rsidR="009A4690" w:rsidRPr="00640D8B">
        <w:rPr>
          <w:szCs w:val="28"/>
        </w:rPr>
        <w:t>расширения</w:t>
      </w:r>
      <w:proofErr w:type="gramEnd"/>
      <w:r w:rsidR="009A4690" w:rsidRPr="00640D8B">
        <w:rPr>
          <w:szCs w:val="28"/>
        </w:rPr>
        <w:t xml:space="preserve"> возможностей МО «Город Архангельск» и Архангельской области по погашению компенсации при прекращении и переведенного долга. Необходимо отмети</w:t>
      </w:r>
      <w:r w:rsidR="00E736C9" w:rsidRPr="00640D8B">
        <w:rPr>
          <w:szCs w:val="28"/>
        </w:rPr>
        <w:t>ть, что препятствия по включению</w:t>
      </w:r>
      <w:r w:rsidR="009A4690" w:rsidRPr="00640D8B">
        <w:rPr>
          <w:szCs w:val="28"/>
        </w:rPr>
        <w:t xml:space="preserve"> переводимого долга в условия открытого конкурса отсутствуют;</w:t>
      </w:r>
    </w:p>
    <w:p w:rsidR="009A4690" w:rsidRDefault="009A4690" w:rsidP="009A46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проведение переговоров с иными частными инвесторами по вопросу заключения концессионного соглашения, в том числе на основании частной инициативы в соответствии со ст. 37 Федерального закона № 115-ФЗ; </w:t>
      </w:r>
    </w:p>
    <w:p w:rsidR="001D587D" w:rsidRDefault="001D587D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поднятие тарифа для </w:t>
      </w:r>
      <w:r w:rsidR="00E12577">
        <w:rPr>
          <w:szCs w:val="28"/>
        </w:rPr>
        <w:t>населения</w:t>
      </w:r>
      <w:r>
        <w:rPr>
          <w:szCs w:val="28"/>
        </w:rPr>
        <w:t xml:space="preserve"> </w:t>
      </w:r>
      <w:r w:rsidR="009A4690">
        <w:rPr>
          <w:szCs w:val="28"/>
        </w:rPr>
        <w:t xml:space="preserve">с 2019 года </w:t>
      </w:r>
      <w:r>
        <w:rPr>
          <w:szCs w:val="28"/>
        </w:rPr>
        <w:t>на оказание услуг водоснабжения и водоотведения с целью покрытия экономически обоснованных затрат МУП «Водоканал»</w:t>
      </w:r>
      <w:r w:rsidR="009A4690">
        <w:rPr>
          <w:szCs w:val="28"/>
        </w:rPr>
        <w:t>, оспаривание в судебном порядке установления регулятором экономически не обоснованного тарифа.</w:t>
      </w:r>
    </w:p>
    <w:p w:rsidR="00F46C53" w:rsidRDefault="00F46C53" w:rsidP="009A46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процессе консультаций с инициатором заключения КС стороны провели большой и значимый с точки зрения сокращения рисков и установления потенциально максимально доверительного и добропорядочного формата такого соглашения, так, только из 206 замечаний департамента оказались сняты 127, что значительным образом повысило надежность КС для МО «Город Арханг</w:t>
      </w:r>
      <w:r w:rsidR="00B87CF2">
        <w:rPr>
          <w:szCs w:val="28"/>
        </w:rPr>
        <w:t>ельск» и Архангельской области.</w:t>
      </w:r>
    </w:p>
    <w:p w:rsidR="009A4690" w:rsidRDefault="00F46C53" w:rsidP="009A469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Однако остающиеся замечани</w:t>
      </w:r>
      <w:r w:rsidR="00E736C9">
        <w:rPr>
          <w:szCs w:val="28"/>
        </w:rPr>
        <w:t>я, их неотъемлемость</w:t>
      </w:r>
      <w:r>
        <w:rPr>
          <w:szCs w:val="28"/>
        </w:rPr>
        <w:t xml:space="preserve"> и вышеизложенная</w:t>
      </w:r>
      <w:r w:rsidR="009A4690">
        <w:rPr>
          <w:szCs w:val="28"/>
        </w:rPr>
        <w:t xml:space="preserve"> в</w:t>
      </w:r>
      <w:r w:rsidR="00AB2ADB">
        <w:rPr>
          <w:szCs w:val="28"/>
        </w:rPr>
        <w:t xml:space="preserve"> настоящем заключении информация</w:t>
      </w:r>
      <w:r w:rsidR="009A4690">
        <w:rPr>
          <w:szCs w:val="28"/>
        </w:rPr>
        <w:t xml:space="preserve"> </w:t>
      </w:r>
      <w:r w:rsidR="00E736C9">
        <w:rPr>
          <w:szCs w:val="28"/>
        </w:rPr>
        <w:t xml:space="preserve">не позволяют </w:t>
      </w:r>
      <w:r w:rsidR="009A4690">
        <w:rPr>
          <w:szCs w:val="28"/>
        </w:rPr>
        <w:t>департамент</w:t>
      </w:r>
      <w:r w:rsidR="00E736C9">
        <w:rPr>
          <w:szCs w:val="28"/>
        </w:rPr>
        <w:t>у</w:t>
      </w:r>
      <w:r w:rsidR="009A4690">
        <w:rPr>
          <w:szCs w:val="28"/>
        </w:rPr>
        <w:t xml:space="preserve"> городского хозяйства Администрации МО «Город Архангельск» </w:t>
      </w:r>
      <w:r w:rsidR="00E736C9">
        <w:rPr>
          <w:szCs w:val="28"/>
        </w:rPr>
        <w:t>согласовать заключение</w:t>
      </w:r>
      <w:r w:rsidR="009A4690">
        <w:rPr>
          <w:szCs w:val="28"/>
        </w:rPr>
        <w:t xml:space="preserve"> концессионного соглашения по объектам водоснабжения и водоотведения города Архангельска на предложенных инициатором (ООО «РВК-Центр») условиях без проведения соответствующих вышеуказанных корректировок концессионного соглашения</w:t>
      </w:r>
      <w:r w:rsidR="001316A4">
        <w:rPr>
          <w:szCs w:val="28"/>
        </w:rPr>
        <w:t>, а также учета приведенных в приложении замечаний</w:t>
      </w:r>
      <w:r w:rsidR="009A4690">
        <w:rPr>
          <w:szCs w:val="28"/>
        </w:rPr>
        <w:t>.</w:t>
      </w:r>
      <w:proofErr w:type="gramEnd"/>
      <w:r w:rsidR="00640D8B">
        <w:rPr>
          <w:szCs w:val="28"/>
        </w:rPr>
        <w:t xml:space="preserve"> </w:t>
      </w:r>
      <w:r w:rsidR="00066BA9">
        <w:rPr>
          <w:szCs w:val="28"/>
        </w:rPr>
        <w:t>Уважаемый Игорь Викторович, на основании содержания данного особого мнения д</w:t>
      </w:r>
      <w:r w:rsidR="00640D8B">
        <w:rPr>
          <w:szCs w:val="28"/>
        </w:rPr>
        <w:t xml:space="preserve">епартамент </w:t>
      </w:r>
      <w:r w:rsidR="00066BA9">
        <w:rPr>
          <w:szCs w:val="28"/>
        </w:rPr>
        <w:t xml:space="preserve">также </w:t>
      </w:r>
      <w:r w:rsidR="00640D8B">
        <w:rPr>
          <w:szCs w:val="28"/>
        </w:rPr>
        <w:t xml:space="preserve">не рекомендует Вам </w:t>
      </w:r>
      <w:r w:rsidR="00066BA9">
        <w:rPr>
          <w:szCs w:val="28"/>
        </w:rPr>
        <w:t xml:space="preserve">согласовывать, </w:t>
      </w:r>
      <w:proofErr w:type="spellStart"/>
      <w:r w:rsidR="00066BA9">
        <w:rPr>
          <w:szCs w:val="28"/>
        </w:rPr>
        <w:t>акцептовывать</w:t>
      </w:r>
      <w:proofErr w:type="spellEnd"/>
      <w:r w:rsidR="00066BA9">
        <w:rPr>
          <w:szCs w:val="28"/>
        </w:rPr>
        <w:t xml:space="preserve">, подписывать и принимать предложенные ООО «РВК-Центр» условия концессионного соглашения. </w:t>
      </w:r>
    </w:p>
    <w:p w:rsidR="005D5923" w:rsidRDefault="0004637C" w:rsidP="0004637C">
      <w:pPr>
        <w:tabs>
          <w:tab w:val="left" w:pos="2410"/>
        </w:tabs>
        <w:autoSpaceDE w:val="0"/>
        <w:autoSpaceDN w:val="0"/>
        <w:adjustRightInd w:val="0"/>
        <w:ind w:left="2410" w:hanging="1701"/>
        <w:jc w:val="both"/>
        <w:rPr>
          <w:szCs w:val="28"/>
        </w:rPr>
      </w:pPr>
      <w:r>
        <w:rPr>
          <w:szCs w:val="28"/>
        </w:rPr>
        <w:t xml:space="preserve">Приложение: </w:t>
      </w:r>
      <w:r w:rsidR="00066BA9">
        <w:rPr>
          <w:szCs w:val="28"/>
        </w:rPr>
        <w:t xml:space="preserve">замечания </w:t>
      </w:r>
      <w:r w:rsidR="00906704">
        <w:rPr>
          <w:szCs w:val="28"/>
        </w:rPr>
        <w:t xml:space="preserve">и предложения </w:t>
      </w:r>
      <w:r w:rsidR="00066BA9">
        <w:rPr>
          <w:szCs w:val="28"/>
        </w:rPr>
        <w:t xml:space="preserve">к проекту концессионного соглашения, направленного инициатором (ООО «РВК-Центр») </w:t>
      </w:r>
      <w:r>
        <w:rPr>
          <w:szCs w:val="28"/>
        </w:rPr>
        <w:t>с</w:t>
      </w:r>
      <w:r w:rsidR="00906704">
        <w:rPr>
          <w:szCs w:val="28"/>
        </w:rPr>
        <w:t xml:space="preserve"> </w:t>
      </w:r>
      <w:r>
        <w:rPr>
          <w:szCs w:val="28"/>
        </w:rPr>
        <w:t>учетом разногласий</w:t>
      </w:r>
      <w:r w:rsidR="00906704">
        <w:rPr>
          <w:szCs w:val="28"/>
        </w:rPr>
        <w:t xml:space="preserve"> к проекту договора</w:t>
      </w:r>
      <w:r>
        <w:rPr>
          <w:szCs w:val="28"/>
        </w:rPr>
        <w:t xml:space="preserve"> аренды земельного участка на 19</w:t>
      </w:r>
      <w:r w:rsidR="00066BA9">
        <w:rPr>
          <w:szCs w:val="28"/>
        </w:rPr>
        <w:t xml:space="preserve"> л. в 1 экз.</w:t>
      </w:r>
    </w:p>
    <w:p w:rsidR="005D5923" w:rsidRPr="00497A75" w:rsidRDefault="005D5923" w:rsidP="005D592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C7D27" w:rsidRDefault="008C7D27" w:rsidP="008C7D27">
      <w:pPr>
        <w:tabs>
          <w:tab w:val="left" w:pos="709"/>
        </w:tabs>
        <w:jc w:val="both"/>
        <w:rPr>
          <w:szCs w:val="28"/>
        </w:rPr>
      </w:pPr>
    </w:p>
    <w:p w:rsidR="00066BA9" w:rsidRPr="008C7D27" w:rsidRDefault="00066BA9" w:rsidP="008C7D27">
      <w:pPr>
        <w:tabs>
          <w:tab w:val="left" w:pos="709"/>
        </w:tabs>
        <w:jc w:val="both"/>
        <w:rPr>
          <w:szCs w:val="28"/>
        </w:rPr>
      </w:pPr>
    </w:p>
    <w:p w:rsidR="006B09DD" w:rsidRPr="00F42EA7" w:rsidRDefault="00DB1794" w:rsidP="00805213">
      <w:pPr>
        <w:spacing w:line="264" w:lineRule="auto"/>
        <w:jc w:val="both"/>
        <w:rPr>
          <w:szCs w:val="28"/>
        </w:rPr>
      </w:pPr>
      <w:r w:rsidRPr="00F42EA7">
        <w:rPr>
          <w:szCs w:val="28"/>
        </w:rPr>
        <w:t>Директор департамента</w:t>
      </w:r>
      <w:r w:rsidRPr="00F42EA7">
        <w:rPr>
          <w:szCs w:val="28"/>
        </w:rPr>
        <w:tab/>
      </w:r>
      <w:r w:rsidRPr="00F42EA7">
        <w:rPr>
          <w:szCs w:val="28"/>
        </w:rPr>
        <w:tab/>
      </w:r>
      <w:r w:rsidRPr="00F42EA7">
        <w:rPr>
          <w:szCs w:val="28"/>
        </w:rPr>
        <w:tab/>
      </w:r>
      <w:r w:rsidRPr="00F42EA7">
        <w:rPr>
          <w:szCs w:val="28"/>
        </w:rPr>
        <w:tab/>
      </w:r>
      <w:r w:rsidRPr="00F42EA7">
        <w:rPr>
          <w:szCs w:val="28"/>
        </w:rPr>
        <w:tab/>
      </w:r>
      <w:r w:rsidRPr="00F42EA7">
        <w:rPr>
          <w:szCs w:val="28"/>
        </w:rPr>
        <w:tab/>
        <w:t xml:space="preserve">       Н.</w:t>
      </w:r>
      <w:r w:rsidR="00B635EF">
        <w:rPr>
          <w:szCs w:val="28"/>
        </w:rPr>
        <w:t xml:space="preserve"> </w:t>
      </w:r>
      <w:r w:rsidRPr="00F42EA7">
        <w:rPr>
          <w:szCs w:val="28"/>
        </w:rPr>
        <w:t>К. Кривонкин</w:t>
      </w:r>
    </w:p>
    <w:p w:rsidR="00AC63E7" w:rsidRDefault="00AC63E7" w:rsidP="00E078F5">
      <w:pPr>
        <w:spacing w:line="276" w:lineRule="auto"/>
        <w:jc w:val="both"/>
      </w:pPr>
    </w:p>
    <w:p w:rsidR="00817655" w:rsidRPr="006B09DD" w:rsidRDefault="00817655" w:rsidP="00313EB4">
      <w:pPr>
        <w:jc w:val="both"/>
        <w:rPr>
          <w:sz w:val="16"/>
        </w:rPr>
      </w:pPr>
    </w:p>
    <w:sectPr w:rsidR="00817655" w:rsidRPr="006B09DD" w:rsidSect="00804A36">
      <w:headerReference w:type="even" r:id="rId11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44" w:rsidRDefault="00C07844">
      <w:r>
        <w:separator/>
      </w:r>
    </w:p>
  </w:endnote>
  <w:endnote w:type="continuationSeparator" w:id="0">
    <w:p w:rsidR="00C07844" w:rsidRDefault="00C0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44" w:rsidRDefault="00C07844">
      <w:r>
        <w:separator/>
      </w:r>
    </w:p>
  </w:footnote>
  <w:footnote w:type="continuationSeparator" w:id="0">
    <w:p w:rsidR="00C07844" w:rsidRDefault="00C07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E11" w:rsidRDefault="00E93E1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3E11" w:rsidRDefault="00E93E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D13CF"/>
    <w:multiLevelType w:val="hybridMultilevel"/>
    <w:tmpl w:val="284C6B36"/>
    <w:lvl w:ilvl="0" w:tplc="F18875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07"/>
    <w:rsid w:val="000024EE"/>
    <w:rsid w:val="00003EB1"/>
    <w:rsid w:val="000149BF"/>
    <w:rsid w:val="00022CAD"/>
    <w:rsid w:val="0003491E"/>
    <w:rsid w:val="000420CA"/>
    <w:rsid w:val="000434B3"/>
    <w:rsid w:val="00043681"/>
    <w:rsid w:val="0004637C"/>
    <w:rsid w:val="00051A11"/>
    <w:rsid w:val="00052787"/>
    <w:rsid w:val="0005685E"/>
    <w:rsid w:val="000652B3"/>
    <w:rsid w:val="00066BA9"/>
    <w:rsid w:val="00072BE8"/>
    <w:rsid w:val="000932DE"/>
    <w:rsid w:val="000A5FBE"/>
    <w:rsid w:val="000A7078"/>
    <w:rsid w:val="000C4499"/>
    <w:rsid w:val="000D297E"/>
    <w:rsid w:val="000E1361"/>
    <w:rsid w:val="000E1B06"/>
    <w:rsid w:val="000E40DC"/>
    <w:rsid w:val="000F675E"/>
    <w:rsid w:val="00103F84"/>
    <w:rsid w:val="00125BA7"/>
    <w:rsid w:val="00126872"/>
    <w:rsid w:val="00126B45"/>
    <w:rsid w:val="0013067B"/>
    <w:rsid w:val="001316A4"/>
    <w:rsid w:val="00134443"/>
    <w:rsid w:val="001418C9"/>
    <w:rsid w:val="0015005F"/>
    <w:rsid w:val="001512AA"/>
    <w:rsid w:val="0015551A"/>
    <w:rsid w:val="00155633"/>
    <w:rsid w:val="00161526"/>
    <w:rsid w:val="00164563"/>
    <w:rsid w:val="00166C6D"/>
    <w:rsid w:val="00170AEB"/>
    <w:rsid w:val="001721F5"/>
    <w:rsid w:val="001845EF"/>
    <w:rsid w:val="00185016"/>
    <w:rsid w:val="001853B8"/>
    <w:rsid w:val="00185F2B"/>
    <w:rsid w:val="00192FBF"/>
    <w:rsid w:val="00197A23"/>
    <w:rsid w:val="001A6AA5"/>
    <w:rsid w:val="001B0DA0"/>
    <w:rsid w:val="001B0FB7"/>
    <w:rsid w:val="001B5202"/>
    <w:rsid w:val="001C3E79"/>
    <w:rsid w:val="001C61AA"/>
    <w:rsid w:val="001D587D"/>
    <w:rsid w:val="001D5A58"/>
    <w:rsid w:val="001D62AD"/>
    <w:rsid w:val="001D697D"/>
    <w:rsid w:val="001D79CE"/>
    <w:rsid w:val="001D7CBD"/>
    <w:rsid w:val="001F21C8"/>
    <w:rsid w:val="00207B09"/>
    <w:rsid w:val="00213194"/>
    <w:rsid w:val="002151C5"/>
    <w:rsid w:val="002251CB"/>
    <w:rsid w:val="002266D7"/>
    <w:rsid w:val="0023223C"/>
    <w:rsid w:val="00241333"/>
    <w:rsid w:val="002604C5"/>
    <w:rsid w:val="002745A3"/>
    <w:rsid w:val="00276739"/>
    <w:rsid w:val="0027726A"/>
    <w:rsid w:val="00281748"/>
    <w:rsid w:val="00290351"/>
    <w:rsid w:val="00291776"/>
    <w:rsid w:val="002A3E7E"/>
    <w:rsid w:val="002A67C5"/>
    <w:rsid w:val="002B10CE"/>
    <w:rsid w:val="002D3736"/>
    <w:rsid w:val="002D4192"/>
    <w:rsid w:val="002E0CF2"/>
    <w:rsid w:val="002E705A"/>
    <w:rsid w:val="002E71AD"/>
    <w:rsid w:val="002F43EA"/>
    <w:rsid w:val="00301E17"/>
    <w:rsid w:val="00302159"/>
    <w:rsid w:val="00313EB4"/>
    <w:rsid w:val="00326DFD"/>
    <w:rsid w:val="0034011D"/>
    <w:rsid w:val="00353774"/>
    <w:rsid w:val="00355D7D"/>
    <w:rsid w:val="00357B7E"/>
    <w:rsid w:val="003666CC"/>
    <w:rsid w:val="003738BE"/>
    <w:rsid w:val="00375BFE"/>
    <w:rsid w:val="00375F5F"/>
    <w:rsid w:val="00395D11"/>
    <w:rsid w:val="003A637A"/>
    <w:rsid w:val="003A7D24"/>
    <w:rsid w:val="003B2885"/>
    <w:rsid w:val="003C0395"/>
    <w:rsid w:val="003C0D82"/>
    <w:rsid w:val="003C3021"/>
    <w:rsid w:val="003C7C2D"/>
    <w:rsid w:val="003E2DBE"/>
    <w:rsid w:val="003F2327"/>
    <w:rsid w:val="00400B76"/>
    <w:rsid w:val="004059EC"/>
    <w:rsid w:val="00410144"/>
    <w:rsid w:val="00420228"/>
    <w:rsid w:val="00425B34"/>
    <w:rsid w:val="00432198"/>
    <w:rsid w:val="0044285E"/>
    <w:rsid w:val="00453C93"/>
    <w:rsid w:val="00497A75"/>
    <w:rsid w:val="004A2273"/>
    <w:rsid w:val="004D1B90"/>
    <w:rsid w:val="004D2417"/>
    <w:rsid w:val="004D4BFA"/>
    <w:rsid w:val="004D6BC5"/>
    <w:rsid w:val="004E49E1"/>
    <w:rsid w:val="004F35A7"/>
    <w:rsid w:val="00501424"/>
    <w:rsid w:val="00502230"/>
    <w:rsid w:val="00504820"/>
    <w:rsid w:val="00512FD7"/>
    <w:rsid w:val="00517DAE"/>
    <w:rsid w:val="00517F59"/>
    <w:rsid w:val="00523B1C"/>
    <w:rsid w:val="00527E6B"/>
    <w:rsid w:val="005406A3"/>
    <w:rsid w:val="0054468B"/>
    <w:rsid w:val="00545F24"/>
    <w:rsid w:val="00555E5C"/>
    <w:rsid w:val="005765C6"/>
    <w:rsid w:val="00576EEC"/>
    <w:rsid w:val="0057710F"/>
    <w:rsid w:val="005861EA"/>
    <w:rsid w:val="005A22C4"/>
    <w:rsid w:val="005A2F31"/>
    <w:rsid w:val="005B0581"/>
    <w:rsid w:val="005B100A"/>
    <w:rsid w:val="005B50E0"/>
    <w:rsid w:val="005B53A8"/>
    <w:rsid w:val="005C4310"/>
    <w:rsid w:val="005C56C0"/>
    <w:rsid w:val="005D0448"/>
    <w:rsid w:val="005D0B17"/>
    <w:rsid w:val="005D5923"/>
    <w:rsid w:val="005E5B12"/>
    <w:rsid w:val="005F7972"/>
    <w:rsid w:val="005F7F95"/>
    <w:rsid w:val="00600A2F"/>
    <w:rsid w:val="00600D3D"/>
    <w:rsid w:val="00600D7B"/>
    <w:rsid w:val="0060181E"/>
    <w:rsid w:val="00612EA7"/>
    <w:rsid w:val="0062164F"/>
    <w:rsid w:val="00640D8B"/>
    <w:rsid w:val="006421F1"/>
    <w:rsid w:val="00642A6B"/>
    <w:rsid w:val="006471C2"/>
    <w:rsid w:val="00660362"/>
    <w:rsid w:val="00664710"/>
    <w:rsid w:val="006732B5"/>
    <w:rsid w:val="0067473C"/>
    <w:rsid w:val="006803E7"/>
    <w:rsid w:val="0069132B"/>
    <w:rsid w:val="00692426"/>
    <w:rsid w:val="0069358C"/>
    <w:rsid w:val="006A202B"/>
    <w:rsid w:val="006A4E6A"/>
    <w:rsid w:val="006B09DD"/>
    <w:rsid w:val="006B3305"/>
    <w:rsid w:val="006B407B"/>
    <w:rsid w:val="006C557B"/>
    <w:rsid w:val="006C5C54"/>
    <w:rsid w:val="006C6ED1"/>
    <w:rsid w:val="006D1DBF"/>
    <w:rsid w:val="006D2056"/>
    <w:rsid w:val="006D5203"/>
    <w:rsid w:val="006D6EB7"/>
    <w:rsid w:val="006D7F98"/>
    <w:rsid w:val="006E7ACF"/>
    <w:rsid w:val="007007C4"/>
    <w:rsid w:val="0072001A"/>
    <w:rsid w:val="0072384B"/>
    <w:rsid w:val="00732462"/>
    <w:rsid w:val="007347BE"/>
    <w:rsid w:val="007354BE"/>
    <w:rsid w:val="007375A1"/>
    <w:rsid w:val="00755AF3"/>
    <w:rsid w:val="007666E5"/>
    <w:rsid w:val="00770B65"/>
    <w:rsid w:val="00776B01"/>
    <w:rsid w:val="00786ADA"/>
    <w:rsid w:val="00793E0A"/>
    <w:rsid w:val="007A4ACA"/>
    <w:rsid w:val="007A6F6F"/>
    <w:rsid w:val="007A7F79"/>
    <w:rsid w:val="007C19A4"/>
    <w:rsid w:val="007C24C0"/>
    <w:rsid w:val="007C68B2"/>
    <w:rsid w:val="007C6D82"/>
    <w:rsid w:val="007D1DB0"/>
    <w:rsid w:val="007E42F2"/>
    <w:rsid w:val="007E7E65"/>
    <w:rsid w:val="007F1F82"/>
    <w:rsid w:val="007F4511"/>
    <w:rsid w:val="007F6F13"/>
    <w:rsid w:val="00804A36"/>
    <w:rsid w:val="00805213"/>
    <w:rsid w:val="008061DF"/>
    <w:rsid w:val="00810460"/>
    <w:rsid w:val="00817655"/>
    <w:rsid w:val="00821A77"/>
    <w:rsid w:val="008220AF"/>
    <w:rsid w:val="008254EE"/>
    <w:rsid w:val="00837626"/>
    <w:rsid w:val="008403C6"/>
    <w:rsid w:val="00847B82"/>
    <w:rsid w:val="00851B43"/>
    <w:rsid w:val="00855722"/>
    <w:rsid w:val="00872305"/>
    <w:rsid w:val="00882E90"/>
    <w:rsid w:val="00883F0F"/>
    <w:rsid w:val="00884492"/>
    <w:rsid w:val="008A4960"/>
    <w:rsid w:val="008B692B"/>
    <w:rsid w:val="008C2C51"/>
    <w:rsid w:val="008C3B8F"/>
    <w:rsid w:val="008C4A94"/>
    <w:rsid w:val="008C7430"/>
    <w:rsid w:val="008C7D27"/>
    <w:rsid w:val="008D02E6"/>
    <w:rsid w:val="008D274C"/>
    <w:rsid w:val="008D611A"/>
    <w:rsid w:val="008E10B1"/>
    <w:rsid w:val="008F25CD"/>
    <w:rsid w:val="008F2A02"/>
    <w:rsid w:val="008F377E"/>
    <w:rsid w:val="008F7517"/>
    <w:rsid w:val="00901CE1"/>
    <w:rsid w:val="00904C67"/>
    <w:rsid w:val="00906704"/>
    <w:rsid w:val="00907FA3"/>
    <w:rsid w:val="00910769"/>
    <w:rsid w:val="00916854"/>
    <w:rsid w:val="009313AA"/>
    <w:rsid w:val="0093189A"/>
    <w:rsid w:val="00931F2A"/>
    <w:rsid w:val="00942BFB"/>
    <w:rsid w:val="00947B99"/>
    <w:rsid w:val="009512BA"/>
    <w:rsid w:val="009546B2"/>
    <w:rsid w:val="0095555A"/>
    <w:rsid w:val="00964051"/>
    <w:rsid w:val="00964FCC"/>
    <w:rsid w:val="00970F43"/>
    <w:rsid w:val="009754CC"/>
    <w:rsid w:val="00977D8A"/>
    <w:rsid w:val="00981AC7"/>
    <w:rsid w:val="00982B99"/>
    <w:rsid w:val="009931C1"/>
    <w:rsid w:val="00994B2B"/>
    <w:rsid w:val="009A13CA"/>
    <w:rsid w:val="009A4690"/>
    <w:rsid w:val="009A5738"/>
    <w:rsid w:val="009B39AA"/>
    <w:rsid w:val="009D77C6"/>
    <w:rsid w:val="009E07D8"/>
    <w:rsid w:val="009E1E07"/>
    <w:rsid w:val="009E39C6"/>
    <w:rsid w:val="009E4EAB"/>
    <w:rsid w:val="009E6125"/>
    <w:rsid w:val="009F0F74"/>
    <w:rsid w:val="00A14902"/>
    <w:rsid w:val="00A25721"/>
    <w:rsid w:val="00A26C77"/>
    <w:rsid w:val="00A33430"/>
    <w:rsid w:val="00A401F2"/>
    <w:rsid w:val="00A4600E"/>
    <w:rsid w:val="00A53F64"/>
    <w:rsid w:val="00A62837"/>
    <w:rsid w:val="00A64DB8"/>
    <w:rsid w:val="00A6561D"/>
    <w:rsid w:val="00A66E2E"/>
    <w:rsid w:val="00A83E62"/>
    <w:rsid w:val="00A84155"/>
    <w:rsid w:val="00A85CBB"/>
    <w:rsid w:val="00A87C2A"/>
    <w:rsid w:val="00AA7A5A"/>
    <w:rsid w:val="00AB04DA"/>
    <w:rsid w:val="00AB2ADB"/>
    <w:rsid w:val="00AB5FAC"/>
    <w:rsid w:val="00AC14EF"/>
    <w:rsid w:val="00AC376D"/>
    <w:rsid w:val="00AC6239"/>
    <w:rsid w:val="00AC63E7"/>
    <w:rsid w:val="00AD2B9E"/>
    <w:rsid w:val="00AD5DA4"/>
    <w:rsid w:val="00AE52E9"/>
    <w:rsid w:val="00AE67C6"/>
    <w:rsid w:val="00AE6DD7"/>
    <w:rsid w:val="00AF001B"/>
    <w:rsid w:val="00AF6A89"/>
    <w:rsid w:val="00AF712D"/>
    <w:rsid w:val="00B04179"/>
    <w:rsid w:val="00B10367"/>
    <w:rsid w:val="00B16F92"/>
    <w:rsid w:val="00B2031B"/>
    <w:rsid w:val="00B23467"/>
    <w:rsid w:val="00B25F26"/>
    <w:rsid w:val="00B379CF"/>
    <w:rsid w:val="00B43E7D"/>
    <w:rsid w:val="00B635EF"/>
    <w:rsid w:val="00B6386E"/>
    <w:rsid w:val="00B649A4"/>
    <w:rsid w:val="00B65DAB"/>
    <w:rsid w:val="00B66A35"/>
    <w:rsid w:val="00B76A00"/>
    <w:rsid w:val="00B80843"/>
    <w:rsid w:val="00B81273"/>
    <w:rsid w:val="00B87CF2"/>
    <w:rsid w:val="00B96948"/>
    <w:rsid w:val="00B970C0"/>
    <w:rsid w:val="00BA05E4"/>
    <w:rsid w:val="00BC6792"/>
    <w:rsid w:val="00BD01CA"/>
    <w:rsid w:val="00BD78E7"/>
    <w:rsid w:val="00BE08A8"/>
    <w:rsid w:val="00BE2371"/>
    <w:rsid w:val="00BE2B33"/>
    <w:rsid w:val="00BE3323"/>
    <w:rsid w:val="00BF2C1E"/>
    <w:rsid w:val="00BF33AA"/>
    <w:rsid w:val="00BF5AD3"/>
    <w:rsid w:val="00C0746C"/>
    <w:rsid w:val="00C07844"/>
    <w:rsid w:val="00C10313"/>
    <w:rsid w:val="00C13DF7"/>
    <w:rsid w:val="00C36A62"/>
    <w:rsid w:val="00C471B7"/>
    <w:rsid w:val="00C5103C"/>
    <w:rsid w:val="00C5478F"/>
    <w:rsid w:val="00C603B0"/>
    <w:rsid w:val="00C62849"/>
    <w:rsid w:val="00C643C2"/>
    <w:rsid w:val="00C657A9"/>
    <w:rsid w:val="00C7008D"/>
    <w:rsid w:val="00C81F3E"/>
    <w:rsid w:val="00C8657B"/>
    <w:rsid w:val="00C8724B"/>
    <w:rsid w:val="00C90569"/>
    <w:rsid w:val="00C92EAF"/>
    <w:rsid w:val="00CA1B5B"/>
    <w:rsid w:val="00CA7B6B"/>
    <w:rsid w:val="00CB3DFB"/>
    <w:rsid w:val="00CB5DD4"/>
    <w:rsid w:val="00CC26C1"/>
    <w:rsid w:val="00CD6562"/>
    <w:rsid w:val="00CF0784"/>
    <w:rsid w:val="00CF13B6"/>
    <w:rsid w:val="00CF2F3E"/>
    <w:rsid w:val="00D0041B"/>
    <w:rsid w:val="00D01883"/>
    <w:rsid w:val="00D02DF7"/>
    <w:rsid w:val="00D0688B"/>
    <w:rsid w:val="00D151A6"/>
    <w:rsid w:val="00D16398"/>
    <w:rsid w:val="00D22564"/>
    <w:rsid w:val="00D22C99"/>
    <w:rsid w:val="00D62C55"/>
    <w:rsid w:val="00D646AC"/>
    <w:rsid w:val="00D704E5"/>
    <w:rsid w:val="00D71A77"/>
    <w:rsid w:val="00D742BC"/>
    <w:rsid w:val="00D7675D"/>
    <w:rsid w:val="00D76E83"/>
    <w:rsid w:val="00D80991"/>
    <w:rsid w:val="00D80B5F"/>
    <w:rsid w:val="00D842CA"/>
    <w:rsid w:val="00D86F98"/>
    <w:rsid w:val="00D92B19"/>
    <w:rsid w:val="00D92D76"/>
    <w:rsid w:val="00DA74EE"/>
    <w:rsid w:val="00DB1794"/>
    <w:rsid w:val="00DC2787"/>
    <w:rsid w:val="00DC320E"/>
    <w:rsid w:val="00DC51DE"/>
    <w:rsid w:val="00DC5FEA"/>
    <w:rsid w:val="00DC7279"/>
    <w:rsid w:val="00DE037F"/>
    <w:rsid w:val="00DE42EC"/>
    <w:rsid w:val="00DE5C72"/>
    <w:rsid w:val="00E00053"/>
    <w:rsid w:val="00E078F5"/>
    <w:rsid w:val="00E12577"/>
    <w:rsid w:val="00E24562"/>
    <w:rsid w:val="00E2644C"/>
    <w:rsid w:val="00E26F9B"/>
    <w:rsid w:val="00E36261"/>
    <w:rsid w:val="00E46011"/>
    <w:rsid w:val="00E4758F"/>
    <w:rsid w:val="00E5261E"/>
    <w:rsid w:val="00E54342"/>
    <w:rsid w:val="00E711EE"/>
    <w:rsid w:val="00E736C9"/>
    <w:rsid w:val="00E81C4D"/>
    <w:rsid w:val="00E836CF"/>
    <w:rsid w:val="00E8767D"/>
    <w:rsid w:val="00E93E11"/>
    <w:rsid w:val="00E94CC0"/>
    <w:rsid w:val="00EA274F"/>
    <w:rsid w:val="00EA38A1"/>
    <w:rsid w:val="00EA49DB"/>
    <w:rsid w:val="00EB0636"/>
    <w:rsid w:val="00EC0490"/>
    <w:rsid w:val="00EC46CB"/>
    <w:rsid w:val="00EC5328"/>
    <w:rsid w:val="00EC66D8"/>
    <w:rsid w:val="00ED1ADD"/>
    <w:rsid w:val="00ED4ED7"/>
    <w:rsid w:val="00EE0170"/>
    <w:rsid w:val="00EE23BB"/>
    <w:rsid w:val="00EE5CF1"/>
    <w:rsid w:val="00EF4CA6"/>
    <w:rsid w:val="00F00120"/>
    <w:rsid w:val="00F00433"/>
    <w:rsid w:val="00F12007"/>
    <w:rsid w:val="00F158DB"/>
    <w:rsid w:val="00F15DE8"/>
    <w:rsid w:val="00F174B5"/>
    <w:rsid w:val="00F2773D"/>
    <w:rsid w:val="00F33B09"/>
    <w:rsid w:val="00F34798"/>
    <w:rsid w:val="00F353F2"/>
    <w:rsid w:val="00F42EA7"/>
    <w:rsid w:val="00F43C6E"/>
    <w:rsid w:val="00F46C53"/>
    <w:rsid w:val="00F63F0B"/>
    <w:rsid w:val="00F6646F"/>
    <w:rsid w:val="00F6676E"/>
    <w:rsid w:val="00F725BC"/>
    <w:rsid w:val="00F74FC8"/>
    <w:rsid w:val="00F775EE"/>
    <w:rsid w:val="00F90CEB"/>
    <w:rsid w:val="00F914DC"/>
    <w:rsid w:val="00FA34B2"/>
    <w:rsid w:val="00FA3A44"/>
    <w:rsid w:val="00FC5FE7"/>
    <w:rsid w:val="00FD1720"/>
    <w:rsid w:val="00FD23B2"/>
    <w:rsid w:val="00FD579F"/>
    <w:rsid w:val="00FE3DFB"/>
    <w:rsid w:val="00F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00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0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3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0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F1200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F120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F12007"/>
    <w:rPr>
      <w:color w:val="0000FF"/>
      <w:u w:val="single"/>
    </w:rPr>
  </w:style>
  <w:style w:type="paragraph" w:styleId="a6">
    <w:name w:val="Body Text"/>
    <w:basedOn w:val="a"/>
    <w:link w:val="a7"/>
    <w:rsid w:val="00F12007"/>
    <w:pPr>
      <w:ind w:right="5201"/>
      <w:jc w:val="center"/>
    </w:pPr>
    <w:rPr>
      <w:b/>
      <w:bCs/>
      <w:sz w:val="22"/>
      <w:szCs w:val="24"/>
    </w:rPr>
  </w:style>
  <w:style w:type="character" w:customStyle="1" w:styleId="a7">
    <w:name w:val="Основной текст Знак"/>
    <w:basedOn w:val="a0"/>
    <w:link w:val="a6"/>
    <w:rsid w:val="00F1200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1200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styleId="a8">
    <w:name w:val="page number"/>
    <w:basedOn w:val="a0"/>
    <w:rsid w:val="00F12007"/>
  </w:style>
  <w:style w:type="paragraph" w:styleId="21">
    <w:name w:val="Body Text 2"/>
    <w:basedOn w:val="a"/>
    <w:link w:val="22"/>
    <w:uiPriority w:val="99"/>
    <w:semiHidden/>
    <w:unhideWhenUsed/>
    <w:rsid w:val="00B16F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16F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6F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6F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E13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357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04A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A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517DAE"/>
  </w:style>
  <w:style w:type="paragraph" w:styleId="ab">
    <w:name w:val="Normal (Web)"/>
    <w:basedOn w:val="a"/>
    <w:uiPriority w:val="99"/>
    <w:semiHidden/>
    <w:unhideWhenUsed/>
    <w:rsid w:val="00AF001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00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0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3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0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F1200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F120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F12007"/>
    <w:rPr>
      <w:color w:val="0000FF"/>
      <w:u w:val="single"/>
    </w:rPr>
  </w:style>
  <w:style w:type="paragraph" w:styleId="a6">
    <w:name w:val="Body Text"/>
    <w:basedOn w:val="a"/>
    <w:link w:val="a7"/>
    <w:rsid w:val="00F12007"/>
    <w:pPr>
      <w:ind w:right="5201"/>
      <w:jc w:val="center"/>
    </w:pPr>
    <w:rPr>
      <w:b/>
      <w:bCs/>
      <w:sz w:val="22"/>
      <w:szCs w:val="24"/>
    </w:rPr>
  </w:style>
  <w:style w:type="character" w:customStyle="1" w:styleId="a7">
    <w:name w:val="Основной текст Знак"/>
    <w:basedOn w:val="a0"/>
    <w:link w:val="a6"/>
    <w:rsid w:val="00F1200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1200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styleId="a8">
    <w:name w:val="page number"/>
    <w:basedOn w:val="a0"/>
    <w:rsid w:val="00F12007"/>
  </w:style>
  <w:style w:type="paragraph" w:styleId="21">
    <w:name w:val="Body Text 2"/>
    <w:basedOn w:val="a"/>
    <w:link w:val="22"/>
    <w:uiPriority w:val="99"/>
    <w:semiHidden/>
    <w:unhideWhenUsed/>
    <w:rsid w:val="00B16F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16F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6F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6F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E13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357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04A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A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517DAE"/>
  </w:style>
  <w:style w:type="paragraph" w:styleId="ab">
    <w:name w:val="Normal (Web)"/>
    <w:basedOn w:val="a"/>
    <w:uiPriority w:val="99"/>
    <w:semiHidden/>
    <w:unhideWhenUsed/>
    <w:rsid w:val="00AF001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09A7-5A18-40A5-A268-DCA43E01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4037</Words>
  <Characters>23012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VasilevaAV</dc:creator>
  <cp:lastModifiedBy>Мария Сергеевна Пасторина</cp:lastModifiedBy>
  <cp:revision>2</cp:revision>
  <cp:lastPrinted>2016-12-26T12:51:00Z</cp:lastPrinted>
  <dcterms:created xsi:type="dcterms:W3CDTF">2017-12-29T14:16:00Z</dcterms:created>
  <dcterms:modified xsi:type="dcterms:W3CDTF">2017-12-29T14:16:00Z</dcterms:modified>
</cp:coreProperties>
</file>